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rPr>
        <w:t>Evidence Dossier S-002</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lang w:val="en-US"/>
        </w:rPr>
        <w:t>Emotional Labor, Emotional Regulation, and Surface Acting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Project:</w:t>
      </w:r>
      <w:r>
        <w:rPr>
          <w:rFonts w:ascii="Times New Roman" w:hAnsi="Times New Roman"/>
          <w:rtl w:val="0"/>
          <w:lang w:val="en-US"/>
        </w:rPr>
        <w:t xml:space="preserve"> Hospitality Mental Health Project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en-US"/>
        </w:rPr>
        <w:t>Phase:</w:t>
      </w:r>
      <w:r>
        <w:rPr>
          <w:rFonts w:ascii="Times New Roman" w:hAnsi="Times New Roman"/>
          <w:rtl w:val="0"/>
        </w:rPr>
        <w:t xml:space="preserve"> HMHP-101 </w:t>
      </w:r>
      <w:r>
        <w:rPr>
          <w:rFonts w:ascii="Times New Roman" w:hAnsi="Times New Roman" w:hint="default"/>
          <w:rtl w:val="0"/>
        </w:rPr>
        <w:t xml:space="preserve">– </w:t>
      </w:r>
      <w:r>
        <w:rPr>
          <w:rFonts w:ascii="Times New Roman" w:hAnsi="Times New Roman"/>
          <w:rtl w:val="0"/>
          <w:lang w:val="en-US"/>
        </w:rPr>
        <w:t>Foundation &amp; Literature Review</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Evidence Dossier:</w:t>
      </w:r>
      <w:r>
        <w:rPr>
          <w:rFonts w:ascii="Times New Roman" w:hAnsi="Times New Roman"/>
          <w:b w:val="0"/>
          <w:bCs w:val="0"/>
          <w:rtl w:val="0"/>
        </w:rPr>
        <w:t xml:space="preserve"> S-002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nl-NL"/>
        </w:rPr>
        <w:t>Status:</w:t>
      </w:r>
      <w:r>
        <w:rPr>
          <w:rFonts w:ascii="Times New Roman" w:hAnsi="Times New Roman"/>
          <w:rtl w:val="0"/>
          <w:lang w:val="en-US"/>
        </w:rPr>
        <w:t xml:space="preserve"> Complete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de-DE"/>
        </w:rPr>
        <w:t>Version:</w:t>
      </w:r>
      <w:r>
        <w:rPr>
          <w:rFonts w:ascii="Times New Roman" w:hAnsi="Times New Roman"/>
          <w:b w:val="0"/>
          <w:bCs w:val="0"/>
          <w:rtl w:val="0"/>
        </w:rPr>
        <w:t xml:space="preserve"> 2.0</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Evidence Dossier S-002 is to examine the current body of peer-reviewed literature concerning emotional labor, emotional regulation, and surface acting among hospitality employees. Particular attention is given to emotional labor strategies, customer mistreatment, emotional contagion, organizational display rules, leadership, psychological empowerment, recovery experiences, and organizational outcomes associated with 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Building upon the findings of Evidence Dossier S-001, this review investigates the primary psychological mechanism through which hospitality employees experience occupational stress. Emotional labor represents one of the defining characteristics of hospitality work and provides the principal explanatory pathway connecting workplace interactions with burnout, psychological distress, and broader mental health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identify, evaluate, and synthesize peer-reviewed literature examining emotional labor, emotional regulation, and emotional display requirements among hospitality employees while identifying dominant theoretical frameworks, principal findings, methodological trends, research gaps, and implications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examining emotional labor, emotional regulation, emotional exhaustion, customer interactions, and organizational display rules.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AND 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AND 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 AND 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 AND emotional regulation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surface acting AND hospitality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deep acting AND hospitality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highly cited publications were used to identify additional foundational studies concerning emotional labor within hospitality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emotional labor, emotional regulation, or emotional display strategies.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Reported psychological, behavioral, or organizational outcomes associated with 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investigations, systematic reviews, qualitative studies, meta-analyses, or theoretical papers.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non-hospitality occupations.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customer emotions without employee psychological outcomes.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editorials, opinion papers, conference abstracts, or non-peer-reviewed publications.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hospitality students without occupational relevance.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S-002 demonstrates that emotional labor represents one of the central theoretical constructs within hospitality psychology. Hospitality employees are routinely expected to regulate, suppress, or modify emotional expression while interacting with customers, coworkers, and supervisors in accordance with organizational display rules.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consistently identifies three primary emotional labor strategies: surface acting, deep acting, and authentic emotional expression. Among these, surface acting is most consistently associated with emotional exhaustion, burnout, diminished psychological well-being, and increased turnover intentions. Deep acting generally produces more adaptive outcomes by aligning internal emotional experiences with required emotional displays.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evidence demonstrates that emotional labor functions as the principal psychological mechanism through which occupational demands become psychological strain, ultimately contributing to burnout and broader mental health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Research concerning emotional labor among hospitality employees is highly developed and internationally representative. Emotional labor has been examined across hotels, restaurants, tourism organizations, luxury hospitality settings, food service operations, and customer-facing occupations throughout the hospitality industry.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is supported by systematic reviews, theoretical investigations, qualitative research, and numerous empirical studies. Emotional labor has become one of the most frequently cited explanatory mechanisms within hospitality psychology and is consistently integrated with research examining burnout, employee engagement, leadership, organizational commitment, customer mistreatment, and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this maturity, comparatively little research has examined emotional labor in relation to clinical mental health conditions, cumulative occupational exposure, or long-term psychological outcomes.</w:t>
      </w:r>
    </w:p>
    <w:p>
      <w:pPr>
        <w:pStyle w:val="Body"/>
        <w:rPr>
          <w:rFonts w:ascii="Times New Roman" w:cs="Times New Roman" w:hAnsi="Times New Roman" w:eastAsia="Times New Roman"/>
          <w:sz w:val="24"/>
          <w:szCs w:val="24"/>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Emotional Labor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Emotional Labor Theory represents the dominant conceptual framework within this body of literature. Employees regulate emotional expression to satisfy organizational display rules while simultaneously managing customer expectations and interpersonal interactions.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Emotional Regulation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continuously regulate emotional responses through strategies including surface acting, deep acting, and authentic emotional expression. These regulatory processes influence both psychological well-being and occupational functioning.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it-IT"/>
        </w:rPr>
        <w:t>Emotional Contagion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 emotions influence</w:t>
      </w:r>
      <w:r>
        <w:rPr>
          <w:rFonts w:ascii="Times New Roman" w:hAnsi="Times New Roman" w:hint="default"/>
          <w:rtl w:val="0"/>
          <w:lang w:val="en-US"/>
        </w:rPr>
        <w:t>—</w:t>
      </w:r>
      <w:r>
        <w:rPr>
          <w:rFonts w:ascii="Times New Roman" w:hAnsi="Times New Roman"/>
          <w:rtl w:val="0"/>
          <w:lang w:val="en-US"/>
        </w:rPr>
        <w:t>and are influenced by</w:t>
      </w:r>
      <w:r>
        <w:rPr>
          <w:rFonts w:ascii="Times New Roman" w:hAnsi="Times New Roman" w:hint="default"/>
          <w:rtl w:val="0"/>
          <w:lang w:val="en-US"/>
        </w:rPr>
        <w:t>—</w:t>
      </w:r>
      <w:r>
        <w:rPr>
          <w:rFonts w:ascii="Times New Roman" w:hAnsi="Times New Roman"/>
          <w:rtl w:val="0"/>
          <w:lang w:val="en-US"/>
        </w:rPr>
        <w:t>the emotional states of coworkers, supervisors, and customers. Emotional contagion contributes to workplace climate while shaping employee resilience, engagement, and service quality.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Organizational Support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organizational environments reduce the negative psychological consequences of emotional labor by providing employees with emotional resources, supervisory support, and psychologically healthy workplace cultures.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Recovery and Work Engagement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experiences following emotionally demanding work improve resilience, reduce emotional exhaustion, and strengthen long-term employee engagement.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Emotional labor</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Surface acting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Deep acting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Emotional regulation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Authentic emotional expression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Emotional exhaustion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Customer mistreatment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Customer injustice</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Emotional contagion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display rules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empowerment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Leadership</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Recovery experiences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engagement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commitment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retention</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Quiet quitting</w:t>
      </w:r>
    </w:p>
    <w:p>
      <w:pPr>
        <w:pStyle w:val="Default"/>
        <w:numPr>
          <w:ilvl w:val="0"/>
          <w:numId w:val="2"/>
        </w:numPr>
        <w:suppressAutoHyphens w:val="1"/>
        <w:spacing w:before="0" w:line="240" w:lineRule="auto"/>
        <w:jc w:val="left"/>
        <w:rPr>
          <w:rFonts w:ascii="Times New Roman" w:hAnsi="Times New Roman"/>
          <w:lang w:val="fr-FR"/>
        </w:rPr>
      </w:pPr>
      <w:r>
        <w:rPr>
          <w:rFonts w:ascii="Times New Roman" w:hAnsi="Times New Roman"/>
          <w:rtl w:val="0"/>
          <w:lang w:val="fr-FR"/>
        </w:rPr>
        <w:t>Service quality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S-002 represents a broad range of hospitality employees working in customer-facing service environments.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Bar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Luxury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Kitchen staff</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consistency of findings across hospitality sectors demonstrates that emotional labor is an inherent feature of hospitality employment regardless of organizational setting.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S-002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Spain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Korea</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India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Africa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Taiwan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comparative samples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international diversity of the literature suggests that emotional labor represents a universal occupational demand across hospitality organizations despite cultural differences in emotional display expectations.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Emotional labor is a defining characteristic of hospitality employment.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Surface acting consistently predicts emotional exhaustion, burnout, diminished psychological well-being, and increased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Deep acting generally produces healthier psychological outcomes than surface acting because employees internalize emotional displays rather than merely suppressing authentic emotional experiences.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mistreatment substantially increases emotional labor demands and contributes to psychological strain.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quality and perceived organizational support moderate the negative psychological effects of 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experiences improve resilience following emotionally demanding 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Emotional labor influences employee engagement, organizational commitment, service quality, and long-term employee retention.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establish emotional labor as the principal psychological mechanism linking workplace interactions with burnout and occupational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S-002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little longitudinal research examines cumulative emotional labor across hospitality careers.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emotional labor among hospitality managers remains comparatively underexplored.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little research investigates emotional labor among independent restaurants, casinos, gig economy workers, or adult entertainment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few studies examine relationships between emotional labor and clinically diagnosed depression, anxiety disorders, PTSD, or substance use disorders.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additional qualitative research is needed to better understand employees' lived experiences of sustained emotional regulation within hospitality workplaces.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gaps informed the development of subsequent HMHP evidence dossiers examining psychological outcomes beyond burnout.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S-002 establishes emotional labor as the principal psychological mechanism through which hospitality employees experience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Where Evidence Dossier S-001 identified burnout as the dominant psychological outcome within hospitality employee research, S-002 explains how routine workplace interactions generate the emotional strain that contributes to burnout and broader 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Understanding emotional labor is therefore essential for interpreting subsequent evidence concerning depression, anxiety, sleep disruption, substance use, trauma exposure, and help-seeking behaviors.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in S-002 positions emotional labor immediately following occupational demands within the HMHP Integrated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encounter continuous emotional demands through customer interactions, organizational display rules, interpersonal conflict, and service expectations. These demands require ongoing emotional regulation that, when sustained over time, contributes directly to burnout and emotional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Within the HMHP framework, emotional labor serves as the psychological process that transforms occupational stressors into broader mental health outcomes, making it one of the central explanatory constructs supporting the overall model.</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S-002 demonstrates that emotional labor represents one of the most mature and theoretically developed areas within hospitality psychology. The literature is internationally representative, conceptually sophisticated, and supported by substantial empirical evidence.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findings consistently demonstrate that surface acting contributes to burnout and emotional exhaustion, while deep acting, organizational support, effective leadership, and recovery experiences reduce psychological strain and improve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very high</w:t>
      </w:r>
      <w:r>
        <w:rPr>
          <w:rFonts w:ascii="Times New Roman" w:hAnsi="Times New Roman"/>
          <w:rtl w:val="0"/>
          <w:lang w:val="en-US"/>
        </w:rPr>
        <w:t xml:space="preserve">, while confidence regarding emotional labor as the principal psychological mechanism connecting hospitality work with burnout is </w:t>
      </w:r>
      <w:r>
        <w:rPr>
          <w:rFonts w:ascii="Times New Roman" w:hAnsi="Times New Roman"/>
          <w:b w:val="1"/>
          <w:bCs w:val="1"/>
          <w:rtl w:val="0"/>
          <w:lang w:val="en-US"/>
        </w:rPr>
        <w:t>exceptionally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1"/>
          <w:iCs w:val="1"/>
          <w:rtl w:val="0"/>
          <w:lang w:val="en-US"/>
        </w:rPr>
        <w:t>(Retain the Tier I bibliography from Version 1.0.)</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1"/>
          <w:iCs w:val="1"/>
          <w:rtl w:val="0"/>
          <w:lang w:val="en-US"/>
        </w:rPr>
        <w:t>(Retain the Tier II bibliography from Version 1.0.)</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Emotional labor represents the primary psychological mechanism through which occupational demands influence hospitality employee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Surface acting consistently predicts poorer psychological outcomes than deep acting, making emotional regulation strategy an important determinant of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mistreatment, organizational display rules, leadership quality, and workplace culture collectively shape employees' emotional labor experiences and subsequent psychological functioning.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S-002 provides the conceptual bridge between occupational demands identified throughout hospitality work and the burnout process established in S-001, while simultaneously laying the theoretical foundation for subsequent evidence concerning depression, anxiety, trauma, and other psychological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S-002 establishes emotional labor as one of the defining psychological characteristics of hospitality employment. Across diverse hospitality settings, employees are consistently required to regulate emotional expression in response to organizational expectations, customer interactions, and workplace demands. Surface acting emerges as the emotional regulation strategy most strongly associated with burnout, emotional exhaustion, diminished psychological well-being, and employee turnover, whereas deep acting generally produces healthier occupational outcomes. The literature further demonstrates that organizational support, effective leadership, recovery experiences, and psychologically healthy workplace cultures can mitigate the negative consequences of sustained emotional labor. Collectively, the findings of Evidence Dossier S-002 identify emotional labor as the principal psychological mechanism linking occupational demands with burnout and establish it as a central component of the HMHP Integrated Conceptual Framework.</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