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HMHP-101 Phase I: Foundation &amp; Literature Review</w:t>
      </w: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rPr>
        <w:t>Evidence Dossier S-004</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Leadership, Organizational Support, and Psychological Safety in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Project:</w:t>
      </w:r>
      <w:r>
        <w:rPr>
          <w:rFonts w:ascii="Times New Roman" w:hAnsi="Times New Roman"/>
          <w:rtl w:val="0"/>
          <w:lang w:val="en-US"/>
        </w:rPr>
        <w:t xml:space="preserve"> Hospitality Mental Health Project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Phase:</w:t>
      </w:r>
      <w:r>
        <w:rPr>
          <w:rFonts w:ascii="Times New Roman" w:hAnsi="Times New Roman"/>
          <w:rtl w:val="0"/>
        </w:rPr>
        <w:t xml:space="preserve"> HMHP-101 </w:t>
      </w:r>
      <w:r>
        <w:rPr>
          <w:rFonts w:ascii="Times New Roman" w:hAnsi="Times New Roman" w:hint="default"/>
          <w:rtl w:val="0"/>
        </w:rPr>
        <w:t xml:space="preserve">– </w:t>
      </w:r>
      <w:r>
        <w:rPr>
          <w:rFonts w:ascii="Times New Roman" w:hAnsi="Times New Roman"/>
          <w:rtl w:val="0"/>
          <w:lang w:val="en-US"/>
        </w:rPr>
        <w:t>Foundation &amp; Literature Review</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fr-FR"/>
        </w:rPr>
        <w:t>Evidence Dossier:</w:t>
      </w:r>
      <w:r>
        <w:rPr>
          <w:rFonts w:ascii="Times New Roman" w:hAnsi="Times New Roman"/>
          <w:b w:val="0"/>
          <w:bCs w:val="0"/>
          <w:rtl w:val="0"/>
        </w:rPr>
        <w:t xml:space="preserve"> S-004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Complete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de-DE"/>
        </w:rPr>
        <w:t>Version:</w:t>
      </w:r>
      <w:r>
        <w:rPr>
          <w:rFonts w:ascii="Times New Roman" w:hAnsi="Times New Roman"/>
          <w:b w:val="0"/>
          <w:bCs w:val="0"/>
          <w:rtl w:val="0"/>
        </w:rPr>
        <w:t xml:space="preserve"> 2.0</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de-DE"/>
        </w:rPr>
        <w:t>Date:</w:t>
      </w:r>
      <w:r>
        <w:rPr>
          <w:rFonts w:ascii="Times New Roman" w:hAnsi="Times New Roman"/>
          <w:rtl w:val="0"/>
          <w:lang w:val="en-US"/>
        </w:rPr>
        <w:t xml:space="preserve"> June 2026</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purpose of Evidence Dossier S-004 is to examine the current body of peer-reviewed literature concerning leadership, organizational support, supervisory support, psychological safety, and workplace climate as protective factors influencing hospitality employee mental health. Particular attention is given to leadership styles, organizational support, psychological safety, employee engagement, resilience, organizational commitment, and employee retention across hospitality settings.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Building upon the findings of Evidence Dossiers S-001 through S-003, this review shifts from occupational risk factors to organizational protective factors. Whereas previous evidence dossiers identified customer aggression, emotional labor, and burnout as mechanisms contributing to psychological distress, S-004 examines how supportive leadership and psychologically healthy workplaces reduce those risks while promoting employee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Objective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To identify, evaluate, and synthesize peer-reviewed literature examining leadership behaviors, organizational support, supervisor support, and psychological safety as protective factors influencing hospitality employee mental health while identifying dominant theoretical frameworks, principal findings, methodological trends, research gaps, and implications for future hospitality mental health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Search Strategy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Multiple systematic searches were conducted using the Bellevue University Library (ProQuest One Academic). Searches emphasized peer-reviewed hospitality literature examining leadership, organizational support, supervisor support, psychological safety, employee engagement, organizational commitment, and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search terms included: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organizational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 AND supervisor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psychological safety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servant 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transformational 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authentic 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inclusive 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Citation chaining and review of highly cited publications were used to identify additional foundational studies examining organizational protective factors within hospitality settings.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s-ES_tradnl"/>
        </w:rPr>
        <w:t>Inclusion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included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hospitality or 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leadership, organizational support, supervisor support, or psychological safety.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employee well-being, resilience, burnout prevention, engagement, organizational commitment, or retention.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peer-reviewed empirical investigations, systematic reviews, qualitative studies, meta-analyses, or theoretical papers.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published in English.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fr-FR"/>
        </w:rPr>
        <w:t>Exclusion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excluded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non-hospitality occupations.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leadership without implications for employee mental health.</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financial or operational outcomes.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editorials, opinion papers, conference abstracts, or non-peer-reviewed publications.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Evidence Summary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S-004 demonstrates that leadership, organizational support, and psychological safety represent the primary organizational protective factors influencing hospitality employee mental health.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Across hotels, restaurants, tourism organizations, and other hospitality settings, supportive leadership consistently reduces burnout, strengthens employee resilience, improves psychological well-being, increases organizational commitment, and decreases turnover intentions. Employees who perceive strong organizational support report higher work engagement, stronger organizational citizenship behaviors, improved job satisfaction, and greater long-term commitment to their organizations.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further demonstrates that psychological safety functions as a critical mechanism through which effective leadership produces positive psychological outcomes. Employees working within psychologically safe environments are more willing to communicate openly, seek assistance, recover from mistakes, and engage constructively with coworkers and supervisors.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 evidence establishes leadership and organizational support as essential organizational resources capable of buffering occupational stress while promoting employee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State of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Research concerning leadership, organizational support, and psychological safety among hospitality employees is highly developed and internationally representative.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includes systematic reviews, empirical investigations, intervention studies, and theoretical research examining leadership across hotels, restaurants, tourism organizations, luxury hospitality settings, and multinational hospitality corporations.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evidence consistently demonstrates that leadership quality influences emotional labor, burnout, employee engagement, organizational commitment, resilience, psychological safety, recovery experiences, and employee retention.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Although this body of literature is conceptually mature, comparatively little research has examined leadership interventions specifically targeting clinical mental health outcomes such as depression, anxiety disorders, trauma, substance use disorders, and suicide prevention.</w:t>
      </w:r>
    </w:p>
    <w:p>
      <w:pPr>
        <w:pStyle w:val="Body"/>
        <w:rPr>
          <w:rFonts w:ascii="Times New Roman" w:cs="Times New Roman" w:hAnsi="Times New Roman" w:eastAsia="Times New Roman"/>
          <w:sz w:val="24"/>
          <w:szCs w:val="24"/>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Dominant Theoretical Frameworks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Organizational Support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Organizational Support Theory represents the dominant framework within this body of literature. Employees who perceive that their organization values their contributions and genuinely cares about their well-being consistently report lower burnout, greater resilience, stronger organizational commitment, and improved psychological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Leader</w:t>
      </w:r>
      <w:r>
        <w:rPr>
          <w:rFonts w:ascii="Times New Roman" w:hAnsi="Times New Roman" w:hint="default"/>
          <w:b w:val="1"/>
          <w:bCs w:val="1"/>
          <w:rtl w:val="0"/>
        </w:rPr>
        <w:t>–</w:t>
      </w:r>
      <w:r>
        <w:rPr>
          <w:rFonts w:ascii="Times New Roman" w:hAnsi="Times New Roman"/>
          <w:b w:val="1"/>
          <w:bCs w:val="1"/>
          <w:rtl w:val="0"/>
          <w:lang w:val="en-US"/>
        </w:rPr>
        <w:t>Member Exchange (LMX)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Leader</w:t>
      </w:r>
      <w:r>
        <w:rPr>
          <w:rFonts w:ascii="Times New Roman" w:hAnsi="Times New Roman" w:hint="default"/>
          <w:rtl w:val="0"/>
        </w:rPr>
        <w:t>–</w:t>
      </w:r>
      <w:r>
        <w:rPr>
          <w:rFonts w:ascii="Times New Roman" w:hAnsi="Times New Roman"/>
          <w:rtl w:val="0"/>
          <w:lang w:val="en-US"/>
        </w:rPr>
        <w:t>Member Exchange Theory emphasizes the quality of supervisor</w:t>
      </w:r>
      <w:r>
        <w:rPr>
          <w:rFonts w:ascii="Times New Roman" w:hAnsi="Times New Roman" w:hint="default"/>
          <w:rtl w:val="0"/>
        </w:rPr>
        <w:t>–</w:t>
      </w:r>
      <w:r>
        <w:rPr>
          <w:rFonts w:ascii="Times New Roman" w:hAnsi="Times New Roman"/>
          <w:rtl w:val="0"/>
          <w:lang w:val="en-US"/>
        </w:rPr>
        <w:t>employee relationships. High-quality exchanges foster trust, psychological safety, employee engagement, and organizational citizenship behaviors while reducing turnover intentions.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Social Exchange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leadership encourages reciprocal employee commitment through mutual trust and perceived fairness. Employees who experience supportive leadership frequently respond with increased engagement, stronger organizational loyalty, and improved workplace performance.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Psychological Safety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safety refers to employees' belief that they can communicate openly, ask questions, admit mistakes, and seek assistance without fear of embarrassment or punishment. Psychological safety consistently predicts stronger teamwork, learning behaviors, employee well-being, and resilience.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Job Demands</w:t>
      </w:r>
      <w:r>
        <w:rPr>
          <w:rFonts w:ascii="Times New Roman" w:hAnsi="Times New Roman" w:hint="default"/>
          <w:b w:val="1"/>
          <w:bCs w:val="1"/>
          <w:rtl w:val="0"/>
        </w:rPr>
        <w:t>–</w:t>
      </w:r>
      <w:r>
        <w:rPr>
          <w:rFonts w:ascii="Times New Roman" w:hAnsi="Times New Roman"/>
          <w:b w:val="1"/>
          <w:bCs w:val="1"/>
          <w:rtl w:val="0"/>
          <w:lang w:val="en-US"/>
        </w:rPr>
        <w:t>Resources (JD-R) Model</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Within the JD-R framework, leadership, organizational support, and psychological safety function as critical job resources that buffer demanding work environments, reduce burnout, and promote employee engagement.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Major Themes Identified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themes consistently emerged throughout the literature.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Perceived organizational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Supervisor support</w:t>
      </w:r>
    </w:p>
    <w:p>
      <w:pPr>
        <w:pStyle w:val="Default"/>
        <w:numPr>
          <w:ilvl w:val="0"/>
          <w:numId w:val="2"/>
        </w:numPr>
        <w:suppressAutoHyphens w:val="1"/>
        <w:spacing w:before="0" w:line="240" w:lineRule="auto"/>
        <w:jc w:val="left"/>
        <w:rPr>
          <w:rFonts w:ascii="Times New Roman" w:hAnsi="Times New Roman"/>
          <w:lang w:val="fr-FR"/>
        </w:rPr>
      </w:pPr>
      <w:r>
        <w:rPr>
          <w:rFonts w:ascii="Times New Roman" w:hAnsi="Times New Roman"/>
          <w:rtl w:val="0"/>
          <w:lang w:val="fr-FR"/>
        </w:rPr>
        <w:t>Top management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Servant 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Inclusive 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Authentic 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Transformational 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Humble 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Caring 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Psychological safety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citizenship behavior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resilience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Psychological capital</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engagement</w:t>
      </w:r>
    </w:p>
    <w:p>
      <w:pPr>
        <w:pStyle w:val="Default"/>
        <w:numPr>
          <w:ilvl w:val="0"/>
          <w:numId w:val="2"/>
        </w:numPr>
        <w:suppressAutoHyphens w:val="1"/>
        <w:spacing w:before="0" w:line="240" w:lineRule="auto"/>
        <w:jc w:val="left"/>
        <w:rPr>
          <w:rFonts w:ascii="Times New Roman" w:hAnsi="Times New Roman"/>
          <w:lang w:val="fr-FR"/>
        </w:rPr>
      </w:pPr>
      <w:r>
        <w:rPr>
          <w:rFonts w:ascii="Times New Roman" w:hAnsi="Times New Roman"/>
          <w:rtl w:val="0"/>
          <w:lang w:val="fr-FR"/>
        </w:rPr>
        <w:t>Job satisfaction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commitment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retention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Workplace flexibility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Burnout prevention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Populations 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reviewed in S-004 represents a broad range of hospitality employees across multiple organizational settings.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populations include: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Frontline hospitality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Lodging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managers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Food and beverage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investigations also examined leadership within luxury hospitality organizations, multinational hotel corporations, and post-pandemic hospitality workplaces.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Geographic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reviewed in S-004 demonstrates broad international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originated from: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States</w:t>
      </w:r>
    </w:p>
    <w:p>
      <w:pPr>
        <w:pStyle w:val="Default"/>
        <w:numPr>
          <w:ilvl w:val="0"/>
          <w:numId w:val="2"/>
        </w:numPr>
        <w:suppressAutoHyphens w:val="1"/>
        <w:spacing w:before="0" w:line="240" w:lineRule="auto"/>
        <w:jc w:val="left"/>
        <w:rPr>
          <w:rFonts w:ascii="Times New Roman" w:hAnsi="Times New Roman"/>
          <w:lang w:val="it-IT"/>
        </w:rPr>
      </w:pPr>
      <w:r>
        <w:rPr>
          <w:rFonts w:ascii="Times New Roman" w:hAnsi="Times New Roman"/>
          <w:rtl w:val="0"/>
          <w:lang w:val="it-IT"/>
        </w:rPr>
        <w:t>India</w:t>
      </w:r>
    </w:p>
    <w:p>
      <w:pPr>
        <w:pStyle w:val="Default"/>
        <w:numPr>
          <w:ilvl w:val="0"/>
          <w:numId w:val="2"/>
        </w:numPr>
        <w:suppressAutoHyphens w:val="1"/>
        <w:spacing w:before="0" w:line="240" w:lineRule="auto"/>
        <w:jc w:val="left"/>
        <w:rPr>
          <w:rFonts w:ascii="Times New Roman" w:hAnsi="Times New Roman"/>
          <w:lang w:val="da-DK"/>
        </w:rPr>
      </w:pPr>
      <w:r>
        <w:rPr>
          <w:rFonts w:ascii="Times New Roman" w:hAnsi="Times New Roman"/>
          <w:rtl w:val="0"/>
          <w:lang w:val="da-DK"/>
        </w:rPr>
        <w:t>Jordan</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China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Greece</w:t>
      </w:r>
    </w:p>
    <w:p>
      <w:pPr>
        <w:pStyle w:val="Default"/>
        <w:numPr>
          <w:ilvl w:val="0"/>
          <w:numId w:val="2"/>
        </w:numPr>
        <w:suppressAutoHyphens w:val="1"/>
        <w:spacing w:before="0" w:line="240" w:lineRule="auto"/>
        <w:jc w:val="left"/>
        <w:rPr>
          <w:rFonts w:ascii="Times New Roman" w:hAnsi="Times New Roman"/>
          <w:lang w:val="nl-NL"/>
        </w:rPr>
      </w:pPr>
      <w:r>
        <w:rPr>
          <w:rFonts w:ascii="Times New Roman" w:hAnsi="Times New Roman"/>
          <w:rtl w:val="0"/>
          <w:lang w:val="nl-NL"/>
        </w:rPr>
        <w:t>Malaysia</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Turkey</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Zimbabwe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hotel organizations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consistency of findings across diverse cultural settings indicates that supportive leadership and organizational support function as universal protective factors throughout hospitality employment.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Principal Findings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conclusions consistently emerged throughout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leadership consistently reduces employee burnout and emotional exhaustion.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Perceived organizational support improves psychological well-being, employee engagement, and organizational commitment.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Supervisor support strengthens employee resilience while reducing turnover intentions.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safety promotes open communication, learning behaviors, and employee engagement.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leadership enhances organizational citizenship behaviors and employee retention.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Leadership quality moderates emotional labor, improves recovery following stressful customer interactions, and reduces the psychological consequences of occupational 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Healthy organizational climates contribute to greater employee satisfaction, stronger workplace relationships, and improved long-term organizational performance.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these findings establish leadership, organizational support, and psychological safety as the principal organizational resources protecting hospitality employees from occupational stress.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Gaps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S-004 identified several important opportunities for future investigation.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First, relatively few longitudinal studies examine leadership influences on employee mental health throughout hospitality careers.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Second, comparatively little research investigates leadership practices within independent restaurants, casinos, cruise operations, and gig economy hospitality.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Third, trauma-informed leadership approaches remain largely unexplored.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Fourth, relatively little intervention research evaluates leadership development programs specifically designed to improve employee mental health.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few studies directly examine how leadership influences clinically significant outcomes including depression, anxiety disorders, PTSD, substance use disorders, or suicide risk.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These observations informed subsequent HMHP evidence dossiers concerning organizational intervention and mental health promotion.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Implications for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S-004 establishes leadership, organizational support, and psychological safety as the principal organizational protective factors within the Hospitality Mental Health Project.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Where Evidence Dossiers S-001 through S-003 identified the occupational conditions contributing to employee psychological strain, S-004 demonstrates that supportive organizational environments substantially reduce these risks while promoting resilience, engagement, recovery, and long-term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Leadership therefore represents one of the most important intervention targets within hospitality mental health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Integrated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in S-004 positions leadership, organizational support, and psychological safety as the principal protective resources within the HMHP Integrated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leadership strengthens organizational resilience by reducing the psychological impact of customer aggression, moderating emotional labor demands, and buffering employees against burnout and emotional exhaustion. Psychological safety further enhances these effects by encouraging open communication, help-seeking, and adaptive recovery following stressful workplace experiences.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Within the HMHP framework, leadership and organizational support function as organizational moderators capable of altering the progression from occupational stressors to broader psychological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Overall Assessment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S-004 demonstrates that leadership, organizational support, and psychological safety represent one of the strongest protective domains within hospitality psychology. The literature is internationally representative, theoretically mature, and supported by substantial empirical evidence.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findings consistently demonstrate that supportive leadership reduces burnout, improves employee well-being, strengthens resilience, enhances organizational commitment, and promotes long-term employee retention.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Overall confidence in the available evidence is </w:t>
      </w:r>
      <w:r>
        <w:rPr>
          <w:rFonts w:ascii="Times New Roman" w:hAnsi="Times New Roman"/>
          <w:b w:val="1"/>
          <w:bCs w:val="1"/>
          <w:rtl w:val="0"/>
          <w:lang w:val="en-US"/>
        </w:rPr>
        <w:t>very high</w:t>
      </w:r>
      <w:r>
        <w:rPr>
          <w:rFonts w:ascii="Times New Roman" w:hAnsi="Times New Roman"/>
          <w:rtl w:val="0"/>
          <w:lang w:val="en-US"/>
        </w:rPr>
        <w:t xml:space="preserve">, while confidence regarding leadership and organizational support as primary organizational protective factors within hospitality employee mental health research is </w:t>
      </w:r>
      <w:r>
        <w:rPr>
          <w:rFonts w:ascii="Times New Roman" w:hAnsi="Times New Roman"/>
          <w:b w:val="1"/>
          <w:bCs w:val="1"/>
          <w:rtl w:val="0"/>
          <w:lang w:val="en-US"/>
        </w:rPr>
        <w:t>exceptionally high</w:t>
      </w:r>
      <w:r>
        <w:rPr>
          <w:rFonts w:ascii="Times New Roman" w:hAnsi="Times New Roman"/>
          <w:rtl w:val="0"/>
        </w:rPr>
        <w: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Tier I </w:t>
      </w:r>
      <w:r>
        <w:rPr>
          <w:rFonts w:ascii="Times New Roman" w:hAnsi="Times New Roman" w:hint="default"/>
          <w:b w:val="1"/>
          <w:bCs w:val="1"/>
          <w:rtl w:val="0"/>
        </w:rPr>
        <w:t xml:space="preserve">– </w:t>
      </w:r>
      <w:r>
        <w:rPr>
          <w:rFonts w:ascii="Times New Roman" w:hAnsi="Times New Roman"/>
          <w:b w:val="1"/>
          <w:bCs w:val="1"/>
          <w:rtl w:val="0"/>
          <w:lang w:val="en-US"/>
        </w:rPr>
        <w:t>Foundational Literature</w:t>
      </w:r>
    </w:p>
    <w:p>
      <w:pPr>
        <w:pStyle w:val="Default"/>
        <w:suppressAutoHyphens w:val="1"/>
        <w:spacing w:before="0" w:after="240" w:line="240" w:lineRule="auto"/>
        <w:rPr>
          <w:rStyle w:val="None"/>
          <w:rFonts w:ascii="Times New Roman" w:cs="Times New Roman" w:hAnsi="Times New Roman" w:eastAsia="Times New Roman"/>
          <w:i w:val="0"/>
          <w:iCs w:val="0"/>
        </w:rPr>
      </w:pPr>
      <w:r>
        <w:rPr>
          <w:rFonts w:ascii="Times New Roman" w:hAnsi="Times New Roman"/>
          <w:i w:val="0"/>
          <w:iCs w:val="0"/>
          <w:rtl w:val="0"/>
          <w:lang w:val="en-US"/>
        </w:rPr>
        <w:t xml:space="preserve">Alzghoul, A., Salman Abu Lehyeh, S., AlNawafleh, E. A. T., &amp; Alsheikh, G. A. A. (2023). </w:t>
      </w:r>
      <w:r>
        <w:rPr>
          <w:rFonts w:ascii="Times New Roman" w:hAnsi="Times New Roman"/>
          <w:i w:val="1"/>
          <w:iCs w:val="1"/>
          <w:rtl w:val="0"/>
          <w:lang w:val="en-US"/>
        </w:rPr>
        <w:t>Servant leadership and employee well-being: Mediating role of job burnout, role overload, and anxiety in the Jordanian hospitality sector.Problems and Perspectives in Management, 21</w:t>
      </w:r>
      <w:r>
        <w:rPr>
          <w:rFonts w:ascii="Times New Roman" w:hAnsi="Times New Roman"/>
          <w:i w:val="0"/>
          <w:iCs w:val="0"/>
          <w:rtl w:val="0"/>
        </w:rPr>
        <w:t>(4), 384</w:t>
      </w:r>
      <w:r>
        <w:rPr>
          <w:rFonts w:ascii="Times New Roman" w:hAnsi="Times New Roman" w:hint="default"/>
          <w:i w:val="0"/>
          <w:iCs w:val="0"/>
          <w:rtl w:val="0"/>
        </w:rPr>
        <w:t>–</w:t>
      </w:r>
      <w:r>
        <w:rPr>
          <w:rFonts w:ascii="Times New Roman" w:hAnsi="Times New Roman"/>
          <w:i w:val="0"/>
          <w:iCs w:val="0"/>
          <w:rtl w:val="0"/>
        </w:rPr>
        <w:t xml:space="preserve">397.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"https://doi.org/10.21511/ppm.21(4).2023.30"</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https://doi.org/10.21511/ppm.21(4).2023.30</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lang w:val="en-US"/>
        </w:rPr>
        <w:t xml:space="preserve">Jiaxin Wang, &amp; Fu, X. (2024). </w:t>
      </w:r>
      <w:r>
        <w:rPr>
          <w:rFonts w:ascii="Times New Roman" w:hAnsi="Times New Roman"/>
          <w:i w:val="1"/>
          <w:iCs w:val="1"/>
          <w:rtl w:val="0"/>
          <w:lang w:val="en-US"/>
        </w:rPr>
        <w:t>Unveiling connections between organizational dimensions, employee performance and boundary-spanning behaviors: A study on perceived organizational support and perceived supervisory support.International Journal of Contemporary Hospitality Management, 36</w:t>
      </w:r>
      <w:r>
        <w:rPr>
          <w:rStyle w:val="None"/>
          <w:rFonts w:ascii="Times New Roman" w:hAnsi="Times New Roman"/>
          <w:i w:val="0"/>
          <w:iCs w:val="0"/>
          <w:rtl w:val="0"/>
        </w:rPr>
        <w:t>(12), 4111</w:t>
      </w:r>
      <w:r>
        <w:rPr>
          <w:rStyle w:val="None"/>
          <w:rFonts w:ascii="Times New Roman" w:hAnsi="Times New Roman" w:hint="default"/>
          <w:i w:val="0"/>
          <w:iCs w:val="0"/>
          <w:rtl w:val="0"/>
        </w:rPr>
        <w:t>–</w:t>
      </w:r>
      <w:r>
        <w:rPr>
          <w:rStyle w:val="None"/>
          <w:rFonts w:ascii="Times New Roman" w:hAnsi="Times New Roman"/>
          <w:i w:val="0"/>
          <w:iCs w:val="0"/>
          <w:rtl w:val="0"/>
        </w:rPr>
        <w:t xml:space="preserve">4130.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"https://doi.org/10.1108/IJCHM-10-2023-1573"</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https://doi.org/10.1108/IJCHM-10-2023-1573</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lang w:val="en-US"/>
        </w:rPr>
        <w:t xml:space="preserve">Kwon, E., McGinley, S., &amp; Baek, J. (2026). </w:t>
      </w:r>
      <w:r>
        <w:rPr>
          <w:rFonts w:ascii="Times New Roman" w:hAnsi="Times New Roman"/>
          <w:i w:val="1"/>
          <w:iCs w:val="1"/>
          <w:rtl w:val="0"/>
          <w:lang w:val="en-US"/>
        </w:rPr>
        <w:t>Sustaining retention in the lodging industry: The role of organizational support and self-esteem in a post-crisis landscape.</w:t>
      </w:r>
      <w:r>
        <w:rPr>
          <w:rStyle w:val="None"/>
          <w:rFonts w:ascii="Times New Roman" w:hAnsi="Times New Roman"/>
          <w:i w:val="0"/>
          <w:iCs w:val="0"/>
          <w:rtl w:val="0"/>
        </w:rPr>
        <w:t xml:space="preserve"> </w:t>
      </w:r>
      <w:r>
        <w:rPr>
          <w:rFonts w:ascii="Times New Roman" w:hAnsi="Times New Roman"/>
          <w:i w:val="1"/>
          <w:iCs w:val="1"/>
          <w:rtl w:val="0"/>
          <w:lang w:val="en-US"/>
        </w:rPr>
        <w:t>Tourism and Hospitality Management, 32</w:t>
      </w:r>
      <w:r>
        <w:rPr>
          <w:rStyle w:val="None"/>
          <w:rFonts w:ascii="Times New Roman" w:hAnsi="Times New Roman"/>
          <w:i w:val="0"/>
          <w:iCs w:val="0"/>
          <w:rtl w:val="0"/>
        </w:rPr>
        <w:t>(2), 245</w:t>
      </w:r>
      <w:r>
        <w:rPr>
          <w:rStyle w:val="None"/>
          <w:rFonts w:ascii="Times New Roman" w:hAnsi="Times New Roman" w:hint="default"/>
          <w:i w:val="0"/>
          <w:iCs w:val="0"/>
          <w:rtl w:val="0"/>
        </w:rPr>
        <w:t>–</w:t>
      </w:r>
      <w:r>
        <w:rPr>
          <w:rStyle w:val="None"/>
          <w:rFonts w:ascii="Times New Roman" w:hAnsi="Times New Roman"/>
          <w:i w:val="0"/>
          <w:iCs w:val="0"/>
          <w:rtl w:val="0"/>
        </w:rPr>
        <w:t xml:space="preserve">254.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"https://doi.org/10.20867/thm.32.2.7"</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https://doi.org/10.20867/thm.32.2.7</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Ngwa, M. S., &amp; Bayram, P. (2026). </w:t>
      </w:r>
      <w:r>
        <w:rPr>
          <w:rFonts w:ascii="Times New Roman" w:hAnsi="Times New Roman"/>
          <w:i w:val="1"/>
          <w:iCs w:val="1"/>
          <w:rtl w:val="0"/>
          <w:lang w:val="en-US"/>
        </w:rPr>
        <w:t>Does perceived organizational support lead to organizational citizenship behavior and turnover intention in hotel industry? The indirect roles of work-life satisfaction and employee resilience.</w:t>
      </w:r>
      <w:r>
        <w:rPr>
          <w:rStyle w:val="None"/>
          <w:rFonts w:ascii="Times New Roman" w:hAnsi="Times New Roman"/>
          <w:i w:val="0"/>
          <w:iCs w:val="0"/>
          <w:rtl w:val="0"/>
        </w:rPr>
        <w:t xml:space="preserve"> </w:t>
      </w:r>
      <w:r>
        <w:rPr>
          <w:rFonts w:ascii="Times New Roman" w:hAnsi="Times New Roman"/>
          <w:i w:val="1"/>
          <w:iCs w:val="1"/>
          <w:rtl w:val="0"/>
          <w:lang w:val="en-US"/>
        </w:rPr>
        <w:t>Humanities &amp; Social Sciences Communications, 13</w:t>
      </w:r>
      <w:r>
        <w:rPr>
          <w:rStyle w:val="None"/>
          <w:rFonts w:ascii="Times New Roman" w:hAnsi="Times New Roman"/>
          <w:i w:val="0"/>
          <w:iCs w:val="0"/>
          <w:rtl w:val="0"/>
        </w:rPr>
        <w:t xml:space="preserve">(1), 138.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"https://doi.org/10.1057/s41599-025-06443-x"</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https://doi.org/10.1057/s41599-025-06443-x</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lang w:val="en-US"/>
        </w:rPr>
        <w:t xml:space="preserve">Smollan, R. K., &amp; Mooney, S. K. (2026). </w:t>
      </w:r>
      <w:r>
        <w:rPr>
          <w:rFonts w:ascii="Times New Roman" w:hAnsi="Times New Roman"/>
          <w:i w:val="1"/>
          <w:iCs w:val="1"/>
          <w:rtl w:val="0"/>
        </w:rPr>
        <w:t>Na</w:t>
      </w:r>
      <w:r>
        <w:rPr>
          <w:rFonts w:ascii="Times New Roman" w:hAnsi="Times New Roman" w:hint="default"/>
          <w:i w:val="1"/>
          <w:iCs w:val="1"/>
          <w:rtl w:val="0"/>
          <w:lang w:val="nl-NL"/>
        </w:rPr>
        <w:t>ï</w:t>
      </w:r>
      <w:r>
        <w:rPr>
          <w:rFonts w:ascii="Times New Roman" w:hAnsi="Times New Roman"/>
          <w:i w:val="1"/>
          <w:iCs w:val="1"/>
          <w:rtl w:val="0"/>
          <w:lang w:val="en-US"/>
        </w:rPr>
        <w:t>ve hope or common occurrence? Caring leadership and its impact on employee performance and wellbeing in hospitality and tourism.</w:t>
      </w:r>
      <w:r>
        <w:rPr>
          <w:rStyle w:val="None"/>
          <w:rFonts w:ascii="Times New Roman" w:hAnsi="Times New Roman"/>
          <w:i w:val="0"/>
          <w:iCs w:val="0"/>
          <w:rtl w:val="0"/>
        </w:rPr>
        <w:t xml:space="preserve"> </w:t>
      </w:r>
      <w:r>
        <w:rPr>
          <w:rFonts w:ascii="Times New Roman" w:hAnsi="Times New Roman"/>
          <w:i w:val="1"/>
          <w:iCs w:val="1"/>
          <w:rtl w:val="0"/>
          <w:lang w:val="en-US"/>
        </w:rPr>
        <w:t>Journal of Human Resources in Hospitality &amp; Tourism, 25</w:t>
      </w:r>
      <w:r>
        <w:rPr>
          <w:rStyle w:val="None"/>
          <w:rFonts w:ascii="Times New Roman" w:hAnsi="Times New Roman"/>
          <w:i w:val="0"/>
          <w:iCs w:val="0"/>
          <w:rtl w:val="0"/>
        </w:rPr>
        <w:t>(2), 321</w:t>
      </w:r>
      <w:r>
        <w:rPr>
          <w:rStyle w:val="None"/>
          <w:rFonts w:ascii="Times New Roman" w:hAnsi="Times New Roman" w:hint="default"/>
          <w:i w:val="0"/>
          <w:iCs w:val="0"/>
          <w:rtl w:val="0"/>
        </w:rPr>
        <w:t>–</w:t>
      </w:r>
      <w:r>
        <w:rPr>
          <w:rStyle w:val="None"/>
          <w:rFonts w:ascii="Times New Roman" w:hAnsi="Times New Roman"/>
          <w:i w:val="0"/>
          <w:iCs w:val="0"/>
          <w:rtl w:val="0"/>
        </w:rPr>
        <w:t xml:space="preserve">345.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"https://doi.org/10.1080/15332845.2025.2588522"</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https://doi.org/10.1080/15332845.2025.2588522</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lang w:val="it-IT"/>
        </w:rPr>
        <w:t xml:space="preserve">Vakira, E., Hurombo, B., &amp; Saidi, P. (2026). </w:t>
      </w:r>
      <w:r>
        <w:rPr>
          <w:rFonts w:ascii="Times New Roman" w:hAnsi="Times New Roman"/>
          <w:i w:val="1"/>
          <w:iCs w:val="1"/>
          <w:rtl w:val="0"/>
          <w:lang w:val="en-US"/>
        </w:rPr>
        <w:t>The moderating role of inclusive leadership on the interplay between psychological safety, perceived organisational support and organisational citizenship behaviour in hotels.</w:t>
      </w:r>
      <w:r>
        <w:rPr>
          <w:rStyle w:val="None"/>
          <w:rFonts w:ascii="Times New Roman" w:hAnsi="Times New Roman"/>
          <w:i w:val="0"/>
          <w:iCs w:val="0"/>
          <w:rtl w:val="0"/>
        </w:rPr>
        <w:t xml:space="preserve"> </w:t>
      </w:r>
      <w:r>
        <w:rPr>
          <w:rFonts w:ascii="Times New Roman" w:hAnsi="Times New Roman"/>
          <w:i w:val="1"/>
          <w:iCs w:val="1"/>
          <w:rtl w:val="0"/>
          <w:lang w:val="en-US"/>
        </w:rPr>
        <w:t>GeoJournal of Tourism and Geosites, 65</w:t>
      </w:r>
      <w:r>
        <w:rPr>
          <w:rStyle w:val="None"/>
          <w:rFonts w:ascii="Times New Roman" w:hAnsi="Times New Roman"/>
          <w:i w:val="0"/>
          <w:iCs w:val="0"/>
          <w:rtl w:val="0"/>
        </w:rPr>
        <w:t>(2), 631</w:t>
      </w:r>
      <w:r>
        <w:rPr>
          <w:rStyle w:val="None"/>
          <w:rFonts w:ascii="Times New Roman" w:hAnsi="Times New Roman" w:hint="default"/>
          <w:i w:val="0"/>
          <w:iCs w:val="0"/>
          <w:rtl w:val="0"/>
        </w:rPr>
        <w:t>–</w:t>
      </w:r>
      <w:r>
        <w:rPr>
          <w:rStyle w:val="None"/>
          <w:rFonts w:ascii="Times New Roman" w:hAnsi="Times New Roman"/>
          <w:i w:val="0"/>
          <w:iCs w:val="0"/>
          <w:rtl w:val="0"/>
        </w:rPr>
        <w:t xml:space="preserve">641.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"https://doi.org/10.30892/gtg.65201-1706"</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https://doi.org/10.30892/gtg.65201-1706</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 xml:space="preserve">Tier II </w:t>
      </w:r>
      <w:r>
        <w:rPr>
          <w:rFonts w:ascii="Times New Roman" w:hAnsi="Times New Roman" w:hint="default"/>
          <w:b w:val="1"/>
          <w:bCs w:val="1"/>
          <w:rtl w:val="0"/>
        </w:rPr>
        <w:t xml:space="preserve">– </w:t>
      </w:r>
      <w:r>
        <w:rPr>
          <w:rFonts w:ascii="Times New Roman" w:hAnsi="Times New Roman"/>
          <w:b w:val="1"/>
          <w:bCs w:val="1"/>
          <w:rtl w:val="0"/>
          <w:lang w:val="en-US"/>
        </w:rPr>
        <w:t>Supporting Literature</w:t>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A</w:t>
      </w:r>
      <w:r>
        <w:rPr>
          <w:rStyle w:val="None"/>
          <w:rFonts w:ascii="Times New Roman" w:hAnsi="Times New Roman" w:hint="default"/>
          <w:i w:val="0"/>
          <w:iCs w:val="0"/>
          <w:rtl w:val="0"/>
        </w:rPr>
        <w:t>ž</w:t>
      </w:r>
      <w:r>
        <w:rPr>
          <w:rStyle w:val="None"/>
          <w:rFonts w:ascii="Times New Roman" w:hAnsi="Times New Roman"/>
          <w:i w:val="0"/>
          <w:iCs w:val="0"/>
          <w:rtl w:val="0"/>
        </w:rPr>
        <w:t>i</w:t>
      </w:r>
      <w:r>
        <w:rPr>
          <w:rStyle w:val="None"/>
          <w:rFonts w:ascii="Times New Roman" w:hAnsi="Times New Roman" w:hint="default"/>
          <w:i w:val="0"/>
          <w:iCs w:val="0"/>
          <w:rtl w:val="0"/>
        </w:rPr>
        <w:t>ć</w:t>
      </w:r>
      <w:r>
        <w:rPr>
          <w:rStyle w:val="None"/>
          <w:rFonts w:ascii="Times New Roman" w:hAnsi="Times New Roman"/>
          <w:i w:val="0"/>
          <w:iCs w:val="0"/>
          <w:rtl w:val="0"/>
        </w:rPr>
        <w:t>, M. L., Cerovi</w:t>
      </w:r>
      <w:r>
        <w:rPr>
          <w:rStyle w:val="None"/>
          <w:rFonts w:ascii="Times New Roman" w:hAnsi="Times New Roman" w:hint="default"/>
          <w:i w:val="0"/>
          <w:iCs w:val="0"/>
          <w:rtl w:val="0"/>
        </w:rPr>
        <w:t>ć</w:t>
      </w:r>
      <w:r>
        <w:rPr>
          <w:rStyle w:val="None"/>
          <w:rFonts w:ascii="Times New Roman" w:hAnsi="Times New Roman"/>
          <w:i w:val="0"/>
          <w:iCs w:val="0"/>
          <w:rtl w:val="0"/>
        </w:rPr>
        <w:t>, M., &amp; Ivan</w:t>
      </w:r>
      <w:r>
        <w:rPr>
          <w:rStyle w:val="None"/>
          <w:rFonts w:ascii="Times New Roman" w:hAnsi="Times New Roman" w:hint="default"/>
          <w:i w:val="0"/>
          <w:iCs w:val="0"/>
          <w:rtl w:val="0"/>
        </w:rPr>
        <w:t>č</w:t>
      </w:r>
      <w:r>
        <w:rPr>
          <w:rStyle w:val="None"/>
          <w:rFonts w:ascii="Times New Roman" w:hAnsi="Times New Roman"/>
          <w:i w:val="0"/>
          <w:iCs w:val="0"/>
          <w:rtl w:val="0"/>
        </w:rPr>
        <w:t>i</w:t>
      </w:r>
      <w:r>
        <w:rPr>
          <w:rStyle w:val="None"/>
          <w:rFonts w:ascii="Times New Roman" w:hAnsi="Times New Roman" w:hint="default"/>
          <w:i w:val="0"/>
          <w:iCs w:val="0"/>
          <w:rtl w:val="0"/>
        </w:rPr>
        <w:t>ć</w:t>
      </w:r>
      <w:r>
        <w:rPr>
          <w:rStyle w:val="None"/>
          <w:rFonts w:ascii="Times New Roman" w:hAnsi="Times New Roman"/>
          <w:i w:val="0"/>
          <w:iCs w:val="0"/>
          <w:rtl w:val="0"/>
        </w:rPr>
        <w:t xml:space="preserve">, I. (2024). </w:t>
      </w:r>
      <w:r>
        <w:rPr>
          <w:rFonts w:ascii="Times New Roman" w:hAnsi="Times New Roman"/>
          <w:i w:val="1"/>
          <w:iCs w:val="1"/>
          <w:rtl w:val="0"/>
          <w:lang w:val="en-US"/>
        </w:rPr>
        <w:t>The impact of perceived top management support on job performance through job burnout: Evidence from the hotel industry.</w:t>
      </w:r>
      <w:r>
        <w:rPr>
          <w:rStyle w:val="None"/>
          <w:rFonts w:ascii="Times New Roman" w:hAnsi="Times New Roman"/>
          <w:i w:val="0"/>
          <w:iCs w:val="0"/>
          <w:rtl w:val="0"/>
        </w:rPr>
        <w:t xml:space="preserve"> </w:t>
      </w:r>
      <w:r>
        <w:rPr>
          <w:rFonts w:ascii="Times New Roman" w:hAnsi="Times New Roman"/>
          <w:i w:val="1"/>
          <w:iCs w:val="1"/>
          <w:rtl w:val="0"/>
          <w:lang w:val="en-US"/>
        </w:rPr>
        <w:t>Tourism and Hospitality Management, 30</w:t>
      </w:r>
      <w:r>
        <w:rPr>
          <w:rStyle w:val="None"/>
          <w:rFonts w:ascii="Times New Roman" w:hAnsi="Times New Roman"/>
          <w:i w:val="0"/>
          <w:iCs w:val="0"/>
          <w:rtl w:val="0"/>
        </w:rPr>
        <w:t>(3), 453</w:t>
      </w:r>
      <w:r>
        <w:rPr>
          <w:rStyle w:val="None"/>
          <w:rFonts w:ascii="Times New Roman" w:hAnsi="Times New Roman" w:hint="default"/>
          <w:i w:val="0"/>
          <w:iCs w:val="0"/>
          <w:rtl w:val="0"/>
        </w:rPr>
        <w:t>–</w:t>
      </w:r>
      <w:r>
        <w:rPr>
          <w:rStyle w:val="None"/>
          <w:rFonts w:ascii="Times New Roman" w:hAnsi="Times New Roman"/>
          <w:i w:val="0"/>
          <w:iCs w:val="0"/>
          <w:rtl w:val="0"/>
        </w:rPr>
        <w:t xml:space="preserve">458.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"https://doi.org/10.20867/thm.30.3.11"</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https://doi.org/10.20867/thm.30.3.11</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lang w:val="en-US"/>
        </w:rPr>
        <w:t xml:space="preserve">Bhatt, V., &amp; Sen, S. (2025). </w:t>
      </w:r>
      <w:r>
        <w:rPr>
          <w:rFonts w:ascii="Times New Roman" w:hAnsi="Times New Roman"/>
          <w:i w:val="1"/>
          <w:iCs w:val="1"/>
          <w:rtl w:val="0"/>
          <w:lang w:val="en-US"/>
        </w:rPr>
        <w:t>Promoting organizational citizenship behavior to combat customer incivility: A mixed method approach.</w:t>
      </w:r>
      <w:r>
        <w:rPr>
          <w:rStyle w:val="None"/>
          <w:rFonts w:ascii="Times New Roman" w:hAnsi="Times New Roman"/>
          <w:i w:val="0"/>
          <w:iCs w:val="0"/>
          <w:rtl w:val="0"/>
        </w:rPr>
        <w:t xml:space="preserve"> </w:t>
      </w:r>
      <w:r>
        <w:rPr>
          <w:rFonts w:ascii="Times New Roman" w:hAnsi="Times New Roman"/>
          <w:i w:val="1"/>
          <w:iCs w:val="1"/>
          <w:rtl w:val="0"/>
          <w:lang w:val="en-US"/>
        </w:rPr>
        <w:t>Tourism Analysis, 30</w:t>
      </w:r>
      <w:r>
        <w:rPr>
          <w:rStyle w:val="None"/>
          <w:rFonts w:ascii="Times New Roman" w:hAnsi="Times New Roman"/>
          <w:i w:val="0"/>
          <w:iCs w:val="0"/>
          <w:rtl w:val="0"/>
        </w:rPr>
        <w:t>(4), 539</w:t>
      </w:r>
      <w:r>
        <w:rPr>
          <w:rStyle w:val="None"/>
          <w:rFonts w:ascii="Times New Roman" w:hAnsi="Times New Roman" w:hint="default"/>
          <w:i w:val="0"/>
          <w:iCs w:val="0"/>
          <w:rtl w:val="0"/>
        </w:rPr>
        <w:t>–</w:t>
      </w:r>
      <w:r>
        <w:rPr>
          <w:rStyle w:val="None"/>
          <w:rFonts w:ascii="Times New Roman" w:hAnsi="Times New Roman"/>
          <w:i w:val="0"/>
          <w:iCs w:val="0"/>
          <w:rtl w:val="0"/>
        </w:rPr>
        <w:t xml:space="preserve">561.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"https://doi.org/10.3727/108354225X17418823599670"</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https://doi.org/10.3727/108354225X17418823599670</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Can, O., &amp; Brijesh, T. (2025). </w:t>
      </w:r>
      <w:r>
        <w:rPr>
          <w:rFonts w:ascii="Times New Roman" w:hAnsi="Times New Roman"/>
          <w:i w:val="1"/>
          <w:iCs w:val="1"/>
          <w:rtl w:val="0"/>
          <w:lang w:val="en-US"/>
        </w:rPr>
        <w:t>The effects of psychological capital and workplace bullying on intention to stay in the lodging industry.</w:t>
      </w:r>
      <w:r>
        <w:rPr>
          <w:rStyle w:val="None"/>
          <w:rFonts w:ascii="Times New Roman" w:hAnsi="Times New Roman"/>
          <w:i w:val="0"/>
          <w:iCs w:val="0"/>
          <w:rtl w:val="0"/>
        </w:rPr>
        <w:t xml:space="preserve"> </w:t>
      </w:r>
      <w:r>
        <w:rPr>
          <w:rFonts w:ascii="Times New Roman" w:hAnsi="Times New Roman"/>
          <w:i w:val="1"/>
          <w:iCs w:val="1"/>
          <w:rtl w:val="0"/>
          <w:lang w:val="en-US"/>
        </w:rPr>
        <w:t>Tourism and Hospitality, 6</w:t>
      </w:r>
      <w:r>
        <w:rPr>
          <w:rStyle w:val="None"/>
          <w:rFonts w:ascii="Times New Roman" w:hAnsi="Times New Roman"/>
          <w:i w:val="0"/>
          <w:iCs w:val="0"/>
          <w:rtl w:val="0"/>
        </w:rPr>
        <w:t xml:space="preserve">(3), 127.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"https://doi.org/10.3390/tourhosp6030127"</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https://doi.org/10.3390/tourhosp6030127</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nl-NL"/>
        </w:rPr>
        <w:t xml:space="preserve">Coetzer, M. F., Bussin, M., &amp; Geldenhuys, M. (2025). </w:t>
      </w:r>
      <w:r>
        <w:rPr>
          <w:rStyle w:val="None"/>
          <w:rFonts w:ascii="Times New Roman" w:hAnsi="Times New Roman"/>
          <w:i w:val="1"/>
          <w:iCs w:val="1"/>
          <w:rtl w:val="0"/>
          <w:lang w:val="en-US"/>
        </w:rPr>
        <w:t>Evaluation of a servant leadership intervention.</w:t>
      </w:r>
      <w:r>
        <w:rPr>
          <w:rFonts w:ascii="Times New Roman" w:hAnsi="Times New Roman"/>
          <w:rtl w:val="0"/>
        </w:rPr>
        <w:t xml:space="preserve"> </w:t>
      </w:r>
      <w:r>
        <w:rPr>
          <w:rStyle w:val="None"/>
          <w:rFonts w:ascii="Times New Roman" w:hAnsi="Times New Roman"/>
          <w:i w:val="1"/>
          <w:iCs w:val="1"/>
          <w:rtl w:val="0"/>
          <w:lang w:val="en-US"/>
        </w:rPr>
        <w:t>Administrative Sciences, 15</w:t>
      </w:r>
      <w:r>
        <w:rPr>
          <w:rFonts w:ascii="Times New Roman" w:hAnsi="Times New Roman"/>
          <w:rtl w:val="0"/>
        </w:rPr>
        <w:t xml:space="preserve">(11), 420. </w:t>
      </w:r>
      <w:r>
        <w:rPr>
          <w:rStyle w:val="Hyperlink.1"/>
          <w:rFonts w:ascii="Times New Roman" w:cs="Times New Roman" w:hAnsi="Times New Roman" w:eastAsia="Times New Roman"/>
        </w:rPr>
        <w:fldChar w:fldCharType="begin" w:fldLock="0"/>
      </w:r>
      <w:r>
        <w:rPr>
          <w:rStyle w:val="Hyperlink.1"/>
          <w:rFonts w:ascii="Times New Roman" w:cs="Times New Roman" w:hAnsi="Times New Roman" w:eastAsia="Times New Roman"/>
        </w:rPr>
        <w:instrText xml:space="preserve"> HYPERLINK "https://doi.org/10.3390/admsci15110420"</w:instrText>
      </w:r>
      <w:r>
        <w:rPr>
          <w:rStyle w:val="Hyperlink.1"/>
          <w:rFonts w:ascii="Times New Roman" w:cs="Times New Roman" w:hAnsi="Times New Roman" w:eastAsia="Times New Roman"/>
        </w:rPr>
        <w:fldChar w:fldCharType="separate" w:fldLock="0"/>
      </w:r>
      <w:r>
        <w:rPr>
          <w:rStyle w:val="Hyperlink.1"/>
          <w:rFonts w:ascii="Times New Roman" w:hAnsi="Times New Roman"/>
          <w:rtl w:val="0"/>
          <w:lang w:val="en-US"/>
        </w:rPr>
        <w:t>https://doi.org/10.3390/admsci15110420</w:t>
      </w:r>
      <w:r>
        <w:rPr>
          <w:rFonts w:ascii="Times New Roman" w:cs="Times New Roman" w:hAnsi="Times New Roman" w:eastAsia="Times New Roman"/>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Erkutlu, H., &amp; Chafra, J. (2016). </w:t>
      </w:r>
      <w:r>
        <w:rPr>
          <w:rFonts w:ascii="Times New Roman" w:hAnsi="Times New Roman"/>
          <w:i w:val="1"/>
          <w:iCs w:val="1"/>
          <w:rtl w:val="0"/>
          <w:lang w:val="en-US"/>
        </w:rPr>
        <w:t>Benevolent leadership and psychological well-being: The moderating effects of psychological safety and psychological contract breach.</w:t>
      </w:r>
      <w:r>
        <w:rPr>
          <w:rStyle w:val="None"/>
          <w:rFonts w:ascii="Times New Roman" w:hAnsi="Times New Roman"/>
          <w:i w:val="0"/>
          <w:iCs w:val="0"/>
          <w:rtl w:val="0"/>
        </w:rPr>
        <w:t xml:space="preserve"> </w:t>
      </w:r>
      <w:r>
        <w:rPr>
          <w:rFonts w:ascii="Times New Roman" w:hAnsi="Times New Roman"/>
          <w:i w:val="1"/>
          <w:iCs w:val="1"/>
          <w:rtl w:val="0"/>
          <w:lang w:val="en-US"/>
        </w:rPr>
        <w:t>Leadership &amp; Organization Development Journal, 37</w:t>
      </w:r>
      <w:r>
        <w:rPr>
          <w:rStyle w:val="None"/>
          <w:rFonts w:ascii="Times New Roman" w:hAnsi="Times New Roman"/>
          <w:i w:val="0"/>
          <w:iCs w:val="0"/>
          <w:rtl w:val="0"/>
        </w:rPr>
        <w:t>(3), 369</w:t>
      </w:r>
      <w:r>
        <w:rPr>
          <w:rStyle w:val="None"/>
          <w:rFonts w:ascii="Times New Roman" w:hAnsi="Times New Roman" w:hint="default"/>
          <w:i w:val="0"/>
          <w:iCs w:val="0"/>
          <w:rtl w:val="0"/>
        </w:rPr>
        <w:t>–</w:t>
      </w:r>
      <w:r>
        <w:rPr>
          <w:rStyle w:val="None"/>
          <w:rFonts w:ascii="Times New Roman" w:hAnsi="Times New Roman"/>
          <w:i w:val="0"/>
          <w:iCs w:val="0"/>
          <w:rtl w:val="0"/>
        </w:rPr>
        <w:t xml:space="preserve">386.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"https://doi.org/10.1108/LODJ-07-2014-0129"</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https://doi.org/10.1108/LODJ-07-2014-0129</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lang w:val="en-US"/>
        </w:rPr>
        <w:t xml:space="preserve">Jong-Hyun, L., &amp; Shin, H. (2026). </w:t>
      </w:r>
      <w:r>
        <w:rPr>
          <w:rFonts w:ascii="Times New Roman" w:hAnsi="Times New Roman"/>
          <w:i w:val="1"/>
          <w:iCs w:val="1"/>
          <w:rtl w:val="0"/>
          <w:lang w:val="en-US"/>
        </w:rPr>
        <w:t>Beyond service recovery performance: Humble leadership and psychological safety as durable resources for sustainable service management and organizational resilience.</w:t>
      </w:r>
      <w:r>
        <w:rPr>
          <w:rStyle w:val="None"/>
          <w:rFonts w:ascii="Times New Roman" w:hAnsi="Times New Roman"/>
          <w:i w:val="0"/>
          <w:iCs w:val="0"/>
          <w:rtl w:val="0"/>
        </w:rPr>
        <w:t xml:space="preserve"> </w:t>
      </w:r>
      <w:r>
        <w:rPr>
          <w:rFonts w:ascii="Times New Roman" w:hAnsi="Times New Roman"/>
          <w:i w:val="1"/>
          <w:iCs w:val="1"/>
          <w:rtl w:val="0"/>
          <w:lang w:val="en-US"/>
        </w:rPr>
        <w:t>Sustainability, 18</w:t>
      </w:r>
      <w:r>
        <w:rPr>
          <w:rStyle w:val="None"/>
          <w:rFonts w:ascii="Times New Roman" w:hAnsi="Times New Roman"/>
          <w:i w:val="0"/>
          <w:iCs w:val="0"/>
          <w:rtl w:val="0"/>
        </w:rPr>
        <w:t xml:space="preserve">(9), 4571.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"https://doi.org/10.3390/su18094571"</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https://doi.org/10.3390/su18094571</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it-IT"/>
        </w:rPr>
        <w:t xml:space="preserve">Konstantopoulos, G., Giannarakis, G., Xenaki, M., Thanasas, G., &amp; Garefalakis, A. (2026). </w:t>
      </w:r>
      <w:r>
        <w:rPr>
          <w:rStyle w:val="None"/>
          <w:rFonts w:ascii="Times New Roman" w:hAnsi="Times New Roman"/>
          <w:i w:val="1"/>
          <w:iCs w:val="1"/>
          <w:rtl w:val="0"/>
          <w:lang w:val="en-US"/>
        </w:rPr>
        <w:t>Managerial perceptions of employee loyalty drivers in luxury hospitality.</w:t>
      </w:r>
      <w:r>
        <w:rPr>
          <w:rFonts w:ascii="Times New Roman" w:hAnsi="Times New Roman"/>
          <w:rtl w:val="0"/>
        </w:rPr>
        <w:t xml:space="preserve"> </w:t>
      </w:r>
      <w:r>
        <w:rPr>
          <w:rStyle w:val="None"/>
          <w:rFonts w:ascii="Times New Roman" w:hAnsi="Times New Roman"/>
          <w:i w:val="1"/>
          <w:iCs w:val="1"/>
          <w:rtl w:val="0"/>
          <w:lang w:val="en-US"/>
        </w:rPr>
        <w:t>Tourism and Hospitality, 7</w:t>
      </w:r>
      <w:r>
        <w:rPr>
          <w:rFonts w:ascii="Times New Roman" w:hAnsi="Times New Roman"/>
          <w:rtl w:val="0"/>
        </w:rPr>
        <w:t xml:space="preserve">(4), 104. </w:t>
      </w:r>
      <w:r>
        <w:rPr>
          <w:rStyle w:val="Hyperlink.1"/>
          <w:rFonts w:ascii="Times New Roman" w:cs="Times New Roman" w:hAnsi="Times New Roman" w:eastAsia="Times New Roman"/>
        </w:rPr>
        <w:fldChar w:fldCharType="begin" w:fldLock="0"/>
      </w:r>
      <w:r>
        <w:rPr>
          <w:rStyle w:val="Hyperlink.1"/>
          <w:rFonts w:ascii="Times New Roman" w:cs="Times New Roman" w:hAnsi="Times New Roman" w:eastAsia="Times New Roman"/>
        </w:rPr>
        <w:instrText xml:space="preserve"> HYPERLINK "https://doi.org/10.3390/tourhosp7040104"</w:instrText>
      </w:r>
      <w:r>
        <w:rPr>
          <w:rStyle w:val="Hyperlink.1"/>
          <w:rFonts w:ascii="Times New Roman" w:cs="Times New Roman" w:hAnsi="Times New Roman" w:eastAsia="Times New Roman"/>
        </w:rPr>
        <w:fldChar w:fldCharType="separate" w:fldLock="0"/>
      </w:r>
      <w:r>
        <w:rPr>
          <w:rStyle w:val="Hyperlink.1"/>
          <w:rFonts w:ascii="Times New Roman" w:hAnsi="Times New Roman"/>
          <w:rtl w:val="0"/>
          <w:lang w:val="en-US"/>
        </w:rPr>
        <w:t>https://doi.org/10.3390/tourhosp7040104</w:t>
      </w:r>
      <w:r>
        <w:rPr>
          <w:rFonts w:ascii="Times New Roman" w:cs="Times New Roman" w:hAnsi="Times New Roman" w:eastAsia="Times New Roman"/>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Mehta, D., &amp; Chatterji, N. (2026). </w:t>
      </w:r>
      <w:r>
        <w:rPr>
          <w:rFonts w:ascii="Times New Roman" w:hAnsi="Times New Roman"/>
          <w:i w:val="1"/>
          <w:iCs w:val="1"/>
          <w:rtl w:val="0"/>
          <w:lang w:val="en-US"/>
        </w:rPr>
        <w:t>How inspirational leadership and job demands shape job satisfaction: The role of burnout and psychological capital in the hotel industry in India.</w:t>
      </w:r>
      <w:r>
        <w:rPr>
          <w:rStyle w:val="None"/>
          <w:rFonts w:ascii="Times New Roman" w:hAnsi="Times New Roman"/>
          <w:i w:val="0"/>
          <w:iCs w:val="0"/>
          <w:rtl w:val="0"/>
        </w:rPr>
        <w:t xml:space="preserve"> </w:t>
      </w:r>
      <w:r>
        <w:rPr>
          <w:rFonts w:ascii="Times New Roman" w:hAnsi="Times New Roman"/>
          <w:i w:val="1"/>
          <w:iCs w:val="1"/>
          <w:rtl w:val="0"/>
          <w:lang w:val="en-US"/>
        </w:rPr>
        <w:t>Journal of Human Resources in Hospitality &amp; Tourism, 25</w:t>
      </w:r>
      <w:r>
        <w:rPr>
          <w:rStyle w:val="None"/>
          <w:rFonts w:ascii="Times New Roman" w:hAnsi="Times New Roman"/>
          <w:i w:val="0"/>
          <w:iCs w:val="0"/>
          <w:rtl w:val="0"/>
        </w:rPr>
        <w:t>(1), 73</w:t>
      </w:r>
      <w:r>
        <w:rPr>
          <w:rStyle w:val="None"/>
          <w:rFonts w:ascii="Times New Roman" w:hAnsi="Times New Roman" w:hint="default"/>
          <w:i w:val="0"/>
          <w:iCs w:val="0"/>
          <w:rtl w:val="0"/>
        </w:rPr>
        <w:t>–</w:t>
      </w:r>
      <w:r>
        <w:rPr>
          <w:rStyle w:val="None"/>
          <w:rFonts w:ascii="Times New Roman" w:hAnsi="Times New Roman"/>
          <w:i w:val="0"/>
          <w:iCs w:val="0"/>
          <w:rtl w:val="0"/>
        </w:rPr>
        <w:t xml:space="preserve">96.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"https://doi.org/10.1080/15332845.2025.2563968"</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https://doi.org/10.1080/15332845.2025.2563968</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Moustafa, M. A., Elrayah, M., Aljoghaiman, A., Hasanein, A. M., &amp; Ali, M. A. S. (2024). </w:t>
      </w:r>
      <w:r>
        <w:rPr>
          <w:rFonts w:ascii="Times New Roman" w:hAnsi="Times New Roman"/>
          <w:i w:val="1"/>
          <w:iCs w:val="1"/>
          <w:rtl w:val="0"/>
          <w:lang w:val="en-US"/>
        </w:rPr>
        <w:t>How does sustainable organizational support affect job burnout in the hospitality sector? The mediating role of psychological capital.Sustainability, 16</w:t>
      </w:r>
      <w:r>
        <w:rPr>
          <w:rStyle w:val="None"/>
          <w:rFonts w:ascii="Times New Roman" w:hAnsi="Times New Roman"/>
          <w:i w:val="0"/>
          <w:iCs w:val="0"/>
          <w:rtl w:val="0"/>
        </w:rPr>
        <w:t xml:space="preserve">(2), 840.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"https://doi.org/10.3390/su16020840"</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https://doi.org/10.3390/su16020840</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Olverson, B. (2026). </w:t>
      </w:r>
      <w:r>
        <w:rPr>
          <w:rFonts w:ascii="Times New Roman" w:hAnsi="Times New Roman"/>
          <w:i w:val="1"/>
          <w:iCs w:val="1"/>
          <w:rtl w:val="0"/>
          <w:lang w:val="en-US"/>
        </w:rPr>
        <w:t>Managing the Mood: How Managerial Communication Shapes the Experience of Emotional Labor Among Restaurant Employees.</w:t>
      </w:r>
      <w:r>
        <w:rPr>
          <w:rStyle w:val="None"/>
          <w:rFonts w:ascii="Times New Roman" w:hAnsi="Times New Roman"/>
          <w:i w:val="0"/>
          <w:iCs w:val="0"/>
          <w:rtl w:val="0"/>
          <w:lang w:val="fr-FR"/>
        </w:rPr>
        <w:t xml:space="preserve"> (Doctoral dissertation).</w:t>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Zhang, R. (2026). </w:t>
      </w:r>
      <w:r>
        <w:rPr>
          <w:rFonts w:ascii="Times New Roman" w:hAnsi="Times New Roman"/>
          <w:i w:val="1"/>
          <w:iCs w:val="1"/>
          <w:rtl w:val="0"/>
          <w:lang w:val="en-US"/>
        </w:rPr>
        <w:t>Workplace flexibility and turnover intentions in hospitality: Sequential role of work-family conflict, well-being, and commitment.</w:t>
      </w:r>
      <w:r>
        <w:rPr>
          <w:rStyle w:val="None"/>
          <w:rFonts w:ascii="Times New Roman" w:hAnsi="Times New Roman"/>
          <w:i w:val="0"/>
          <w:iCs w:val="0"/>
          <w:rtl w:val="0"/>
        </w:rPr>
        <w:t xml:space="preserve"> </w:t>
      </w:r>
      <w:r>
        <w:rPr>
          <w:rFonts w:ascii="Times New Roman" w:hAnsi="Times New Roman"/>
          <w:i w:val="1"/>
          <w:iCs w:val="1"/>
          <w:rtl w:val="0"/>
          <w:lang w:val="en-US"/>
        </w:rPr>
        <w:t>Work, 83</w:t>
      </w:r>
      <w:r>
        <w:rPr>
          <w:rStyle w:val="None"/>
          <w:rFonts w:ascii="Times New Roman" w:hAnsi="Times New Roman"/>
          <w:i w:val="0"/>
          <w:iCs w:val="0"/>
          <w:rtl w:val="0"/>
        </w:rPr>
        <w:t>(4), 1198</w:t>
      </w:r>
      <w:r>
        <w:rPr>
          <w:rStyle w:val="None"/>
          <w:rFonts w:ascii="Times New Roman" w:hAnsi="Times New Roman" w:hint="default"/>
          <w:i w:val="0"/>
          <w:iCs w:val="0"/>
          <w:rtl w:val="0"/>
        </w:rPr>
        <w:t>–</w:t>
      </w:r>
      <w:r>
        <w:rPr>
          <w:rStyle w:val="None"/>
          <w:rFonts w:ascii="Times New Roman" w:hAnsi="Times New Roman"/>
          <w:i w:val="0"/>
          <w:iCs w:val="0"/>
          <w:rtl w:val="0"/>
        </w:rPr>
        <w:t xml:space="preserve">1211.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"https://doi.org/10.1177/10519815251396557"</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https://doi.org/10.1177/10519815251396557</w:t>
      </w:r>
      <w:r>
        <w:rPr>
          <w:rFonts w:ascii="Times New Roman" w:cs="Times New Roman" w:hAnsi="Times New Roman" w:eastAsia="Times New Roman"/>
          <w:i w:val="1"/>
          <w:iCs w:val="1"/>
        </w:rPr>
        <w:fldChar w:fldCharType="end" w:fldLock="0"/>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Investigator Notes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Leadership consistently emerges as one of the strongest organizational protective factors within hospitality employee mental health research. Across diverse hospitality settings, supportive leaders reduce burnout, improve psychological well-being, and strengthen employee resilience.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Perceived organizational support and high-quality supervisor relationships enhance employee engagement, organizational commitment, organizational citizenship behaviors, and long-term retention while buffering the psychological effects of demanding hospitality work.</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safety serves as the central mechanism through which supportive leadership influences employee mental health. Employees who feel psychologically safe are more likely to seek assistance, communicate openly, recover from workplace stressors, and remain engaged despite demanding occupational environments.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S-004 establishes the first major organizational intervention point within the HMHP Integrated Conceptual Framework. Unlike previous dossiers that focused primarily on occupational stressors and psychological mechanisms, S-004 demonstrates that leadership quality and organizational climate can meaningfully alter the trajectory from workplace stress to psychological distress.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Summary</w:t>
      </w:r>
    </w:p>
    <w:p>
      <w:pPr>
        <w:pStyle w:val="Default"/>
        <w:suppressAutoHyphens w:val="1"/>
        <w:spacing w:before="0" w:after="240" w:line="240" w:lineRule="auto"/>
      </w:pPr>
      <w:r>
        <w:rPr>
          <w:rFonts w:ascii="Times New Roman" w:hAnsi="Times New Roman"/>
          <w:rtl w:val="0"/>
          <w:lang w:val="en-US"/>
        </w:rPr>
        <w:t>Evidence Dossier S-004 establishes leadership, organizational support, and psychological safety as the principal organizational protective factors within hospitality employee mental health research. Across hotels, restaurants, tourism organizations, and related hospitality settings, supportive leadership consistently reduces burnout, strengthens employee resilience, improves organizational commitment, increases employee engagement, and promotes long-term psychological well-being. The literature further demonstrates that psychological safety functions as the primary mechanism through which effective leadership improves communication, recovery, learning behaviors, and employee retention. Organizational support consistently buffers the negative psychological consequences of customer aggression, emotional labor, and occupational stress while fostering healthier workplace cultures. Collectively, the findings of Evidence Dossier S-004 identify leadership and organizational support as the primary organizational resources protecting hospitality employees from occupational stress and establish these constructs as essential components of the HMHP Integrated Conceptual Framework.</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i w:val="0"/>
      <w:iCs w:val="0"/>
      <w:u w:val="single"/>
    </w:rPr>
  </w:style>
  <w:style w:type="character" w:styleId="Hyperlink.1">
    <w:name w:val="Hyperlink.1"/>
    <w:basedOn w:val="None"/>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