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HMHP-101 Phase I: Foundation &amp; Literature Review</w:t>
      </w: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rPr>
        <w:t>Evidence Dossier S-005</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Work-Life Conflict, Recovery, and Occupational Spillover in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en-US"/>
        </w:rPr>
        <w:t>Project:</w:t>
      </w:r>
      <w:r>
        <w:rPr>
          <w:rFonts w:ascii="Times New Roman" w:hAnsi="Times New Roman"/>
          <w:rtl w:val="0"/>
          <w:lang w:val="en-US"/>
        </w:rPr>
        <w:t xml:space="preserve"> Hospitality Mental Health Project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en-US"/>
        </w:rPr>
        <w:t>Phase:</w:t>
      </w:r>
      <w:r>
        <w:rPr>
          <w:rFonts w:ascii="Times New Roman" w:hAnsi="Times New Roman"/>
          <w:rtl w:val="0"/>
        </w:rPr>
        <w:t xml:space="preserve"> HMHP-101 </w:t>
      </w:r>
      <w:r>
        <w:rPr>
          <w:rFonts w:ascii="Times New Roman" w:hAnsi="Times New Roman" w:hint="default"/>
          <w:rtl w:val="0"/>
        </w:rPr>
        <w:t xml:space="preserve">– </w:t>
      </w:r>
      <w:r>
        <w:rPr>
          <w:rFonts w:ascii="Times New Roman" w:hAnsi="Times New Roman"/>
          <w:rtl w:val="0"/>
          <w:lang w:val="en-US"/>
        </w:rPr>
        <w:t>Foundation &amp; Literature Review</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fr-FR"/>
        </w:rPr>
        <w:t>Evidence Dossier:</w:t>
      </w:r>
      <w:r>
        <w:rPr>
          <w:rFonts w:ascii="Times New Roman" w:hAnsi="Times New Roman"/>
          <w:b w:val="0"/>
          <w:bCs w:val="0"/>
          <w:rtl w:val="0"/>
        </w:rPr>
        <w:t xml:space="preserve"> S-005</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Complete</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de-DE"/>
        </w:rPr>
        <w:t>Version:</w:t>
      </w:r>
      <w:r>
        <w:rPr>
          <w:rFonts w:ascii="Times New Roman" w:hAnsi="Times New Roman"/>
          <w:b w:val="0"/>
          <w:bCs w:val="0"/>
          <w:rtl w:val="0"/>
        </w:rPr>
        <w:t xml:space="preserve"> 2.0</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de-DE"/>
        </w:rPr>
        <w:t>Date:</w:t>
      </w:r>
      <w:r>
        <w:rPr>
          <w:rFonts w:ascii="Times New Roman" w:hAnsi="Times New Roman"/>
          <w:rtl w:val="0"/>
          <w:lang w:val="en-US"/>
        </w:rPr>
        <w:t xml:space="preserve"> June 2026</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purpose of Evidence Dossier S-005 is to examine the current body of peer-reviewed literature concerning work-life conflict, work-family conflict, occupational spillover, psychological recovery, workaholism, scheduling instability, financial well-being, job insecurity, and employee recovery among hospitality employees. Particular attention is given to the ways in which occupational demands extend beyond the workplace and influence employees' personal lives, relationships, physical health, and long-term psychological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Building upon the findings of Evidence Dossiers S-001 through S-004, this review examines how occupational stress persists after employees leave the workplace. Whereas previous dossiers identified workplace stressors, emotional labor, burnout, and organizational protective factors, S-005 explores how these experiences spill into employees' lives outside of work through impaired recovery, chronic stress, work-family conflict, and difficulty psychologically disengaging from occupational demands.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Objective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To identify, evaluate, and synthesize peer-reviewed literature examining work-life conflict, occupational spillover, recovery experiences, workaholism, scheduling instability, job insecurity, financial well-being, and related factors influencing hospitality employee mental health while identifying dominant theoretical frameworks, principal findings, methodological trends, research gaps, and implications for future hospitality mental health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Search Strategy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Multiple systematic searches were conducted using the Bellevue University Library (ProQuest One Academic). Searches emphasized peer-reviewed hospitality literature examining work-life conflict, work-family conflict, occupational spillover, psychological detachment, recovery experiences, workaholism, scheduling practices, job insecurity, and financial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search terms included: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work-life conflict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work-family conflict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work-life balance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occupational spillover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psychological detachment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recovery experiences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workaholism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heavy work investment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job insecurity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financial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Citation chaining and review of highly cited publications were used to identify additional foundational studies examining occupational spillover and employee recovery within hospitality settings.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s-ES_tradnl"/>
        </w:rPr>
        <w:t>Inclusion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included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hospitality or tourism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work-life conflict, work-family conflict, recovery, occupational spillover, workaholism, scheduling instability, job insecurity, financial well-being, or related constructs.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Reported psychological, behavioral, or organizational outcomes associated with occupational spillover.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peer-reviewed empirical investigations, systematic reviews, qualitative studies, meta-analyses, or theoretical papers.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published in English.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fr-FR"/>
        </w:rPr>
        <w:t>Exclusion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excluded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non-hospitality occupations.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organizational performance without employee mental health or well-being outcomes.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tourism recovery following COVID-19 without implications for employee occupational health.</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editorials, opinion papers, conference abstracts, or non-peer-reviewed publications.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Evidence Summary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S-005 demonstrates that hospitality work routinely extends beyond the workplace through work-life conflict, work-family conflict, scheduling instability, emotional carryover, financial stress, job insecurity, and impaired opportunities for psychological recovery.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Employees frequently report conflict between occupational responsibilities and personal life, diminished opportunities for leisure and restoration, reduced work-life balance, and increased turnover intentions. Persistent occupational spillover contributes to emotional exhaustion, burnout, impaired psychological well-being, and diminished long-term occupational sustainability.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Conversely, organizational support, workplace flexibility, supportive leadership, psychologically healthy work-family cultures, financial well-being, and intentional recovery experiences consistently reduce these adverse outcomes. Recent literature increasingly emphasizes psychological detachment from work and structured recovery experiences as essential mechanisms protecting employee mental health.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 evidence establishes work-life conflict and occupational spillover as critical pathways through which workplace stress evolves into chronic psychological strain.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State of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Research concerning work-life conflict, recovery, and occupational spillover among hospitality employees is well developed and internationally representative.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includes systematic reviews, meta-analyses, empirical investigations, qualitative studies, and theoretical research examining work-family conflict, psychological detachment, recovery experiences, workaholism, financial well-being, scheduling practices, and job insecurity across hotels, restaurants, tourism organizations, and multinational hospitality corporations.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evidence consistently demonstrates that work-life conflict serves as a key mediator linking occupational demands with burnout, emotional exhaustion, psychological distress, and employee turnover. Recovery experiences and psychological detachment emerge as particularly important protective mechanisms capable of interrupting the progression from occupational stress to more serious mental health outcomes.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Although this body of literature has matured considerably, comparatively little research has examined long-term recovery trajectories, trauma-related occupational spillover, or relationships between chronic work-life conflict and clinically significant mental health disorders.</w:t>
      </w:r>
    </w:p>
    <w:p>
      <w:pPr>
        <w:pStyle w:val="Body"/>
        <w:rPr>
          <w:rFonts w:ascii="Times New Roman" w:cs="Times New Roman" w:hAnsi="Times New Roman" w:eastAsia="Times New Roman"/>
          <w:sz w:val="24"/>
          <w:szCs w:val="24"/>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Dominant Theoretical Frameworks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Work</w:t>
      </w:r>
      <w:r>
        <w:rPr>
          <w:rFonts w:ascii="Times New Roman" w:hAnsi="Times New Roman" w:hint="default"/>
          <w:b w:val="1"/>
          <w:bCs w:val="1"/>
          <w:rtl w:val="0"/>
        </w:rPr>
        <w:t>–</w:t>
      </w:r>
      <w:r>
        <w:rPr>
          <w:rFonts w:ascii="Times New Roman" w:hAnsi="Times New Roman"/>
          <w:b w:val="1"/>
          <w:bCs w:val="1"/>
          <w:rtl w:val="0"/>
          <w:lang w:val="en-US"/>
        </w:rPr>
        <w:t>Family Conflict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w:t>
      </w:r>
      <w:r>
        <w:rPr>
          <w:rFonts w:ascii="Times New Roman" w:hAnsi="Times New Roman" w:hint="default"/>
          <w:rtl w:val="0"/>
        </w:rPr>
        <w:t>–</w:t>
      </w:r>
      <w:r>
        <w:rPr>
          <w:rFonts w:ascii="Times New Roman" w:hAnsi="Times New Roman"/>
          <w:rtl w:val="0"/>
          <w:lang w:val="en-US"/>
        </w:rPr>
        <w:t>Family Conflict Theory serves as one of the principal frameworks within this body of literature. Competing demands between occupational and family roles contribute to emotional exhaustion, diminished psychological well-being, reduced job satisfaction, and increased turnover intentions.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Work</w:t>
      </w:r>
      <w:r>
        <w:rPr>
          <w:rFonts w:ascii="Times New Roman" w:hAnsi="Times New Roman" w:hint="default"/>
          <w:b w:val="1"/>
          <w:bCs w:val="1"/>
          <w:rtl w:val="0"/>
        </w:rPr>
        <w:t>–</w:t>
      </w:r>
      <w:r>
        <w:rPr>
          <w:rFonts w:ascii="Times New Roman" w:hAnsi="Times New Roman"/>
          <w:b w:val="1"/>
          <w:bCs w:val="1"/>
          <w:rtl w:val="0"/>
          <w:lang w:val="en-US"/>
        </w:rPr>
        <w:t>Family Enrichment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In contrast to conflict models, Work</w:t>
      </w:r>
      <w:r>
        <w:rPr>
          <w:rFonts w:ascii="Times New Roman" w:hAnsi="Times New Roman" w:hint="default"/>
          <w:rtl w:val="0"/>
        </w:rPr>
        <w:t>–</w:t>
      </w:r>
      <w:r>
        <w:rPr>
          <w:rFonts w:ascii="Times New Roman" w:hAnsi="Times New Roman"/>
          <w:rtl w:val="0"/>
          <w:lang w:val="en-US"/>
        </w:rPr>
        <w:t>Family Enrichment Theory proposes that positive workplace experiences can improve functioning outside of work. Supportive leadership, flexible scheduling, and healthy organizational cultures enhance employees' personal relationships, resilience, and overall quality of life.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Job Demands</w:t>
      </w:r>
      <w:r>
        <w:rPr>
          <w:rFonts w:ascii="Times New Roman" w:hAnsi="Times New Roman" w:hint="default"/>
          <w:b w:val="1"/>
          <w:bCs w:val="1"/>
          <w:rtl w:val="0"/>
        </w:rPr>
        <w:t>–</w:t>
      </w:r>
      <w:r>
        <w:rPr>
          <w:rFonts w:ascii="Times New Roman" w:hAnsi="Times New Roman"/>
          <w:b w:val="1"/>
          <w:bCs w:val="1"/>
          <w:rtl w:val="0"/>
          <w:lang w:val="en-US"/>
        </w:rPr>
        <w:t>Resources (JD-R) Model</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Within the JD-R framework, excessive workloads, irregular schedules, emotional labor, and job insecurity function as occupational demands that increase work-life conflict. Organizational resources such as supervisor support, flexibility, and recovery opportunities buffer these demands while promoting employee engagement and resilience.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Conservation of Resources (COR)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Employees seek to acquire, preserve, and restore psychological, emotional, and social resources. Persistent occupational demands without sufficient recovery lead to cumulative resource depletion, increasing vulnerability to burnout and broader mental health concerns.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Recovery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Recovery Theory emphasizes the importance of psychological detachment, relaxation, mastery experiences, and perceived control following work. Successful recovery restores depleted psychological resources and protects employees from chronic occupational stress.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Major Themes Identified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themes consistently emerged throughout the literature.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Work-life conflict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Work-family conflict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Work-family enrichment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Occupational spillover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Work-to-leisure spillover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Psychological detachment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Recovery experiences</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Workaholism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Heavy work investment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Job insecurity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Financial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Scheduling instability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Workplace flexibility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Supervisor support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Coworker support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 resilience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commitment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 retention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Occupational sustainability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Populations 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reviewed in S-005 encompasses a broad range of hospitality employees across multiple organizational settings.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populations include: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Restaurant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Tourism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Frontline hospitality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Female hotel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managers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Food and beverage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Lodging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investigations also examined multinational hotel corporations, independent hospitality organizations, and post-pandemic hospitality workplaces.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Geographic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reviewed in S-005 demonstrates broad international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originated from: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United States</w:t>
      </w:r>
    </w:p>
    <w:p>
      <w:pPr>
        <w:pStyle w:val="Default"/>
        <w:numPr>
          <w:ilvl w:val="0"/>
          <w:numId w:val="2"/>
        </w:numPr>
        <w:suppressAutoHyphens w:val="1"/>
        <w:spacing w:before="0" w:line="240" w:lineRule="auto"/>
        <w:jc w:val="left"/>
        <w:rPr>
          <w:rFonts w:ascii="Times New Roman" w:hAnsi="Times New Roman"/>
          <w:lang w:val="nl-NL"/>
        </w:rPr>
      </w:pPr>
      <w:r>
        <w:rPr>
          <w:rFonts w:ascii="Times New Roman" w:hAnsi="Times New Roman"/>
          <w:rtl w:val="0"/>
          <w:lang w:val="nl-NL"/>
        </w:rPr>
        <w:t>Egypt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Greece</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Vietnam</w:t>
      </w:r>
    </w:p>
    <w:p>
      <w:pPr>
        <w:pStyle w:val="Default"/>
        <w:numPr>
          <w:ilvl w:val="0"/>
          <w:numId w:val="2"/>
        </w:numPr>
        <w:suppressAutoHyphens w:val="1"/>
        <w:spacing w:before="0" w:line="240" w:lineRule="auto"/>
        <w:jc w:val="left"/>
        <w:rPr>
          <w:rFonts w:ascii="Times New Roman" w:hAnsi="Times New Roman"/>
          <w:lang w:val="it-IT"/>
        </w:rPr>
      </w:pPr>
      <w:r>
        <w:rPr>
          <w:rFonts w:ascii="Times New Roman" w:hAnsi="Times New Roman"/>
          <w:rtl w:val="0"/>
          <w:lang w:val="it-IT"/>
        </w:rPr>
        <w:t>Serbia</w:t>
      </w:r>
    </w:p>
    <w:p>
      <w:pPr>
        <w:pStyle w:val="Default"/>
        <w:numPr>
          <w:ilvl w:val="0"/>
          <w:numId w:val="2"/>
        </w:numPr>
        <w:suppressAutoHyphens w:val="1"/>
        <w:spacing w:before="0" w:line="240" w:lineRule="auto"/>
        <w:jc w:val="left"/>
        <w:rPr>
          <w:rFonts w:ascii="Times New Roman" w:hAnsi="Times New Roman"/>
          <w:lang w:val="da-DK"/>
        </w:rPr>
      </w:pPr>
      <w:r>
        <w:rPr>
          <w:rFonts w:ascii="Times New Roman" w:hAnsi="Times New Roman"/>
          <w:rtl w:val="0"/>
          <w:lang w:val="da-DK"/>
        </w:rPr>
        <w:t>Jordan</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Spain</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Turkey</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China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hospitality organizations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consistency of findings across diverse cultural settings indicates that work-life conflict and occupational spillover represent universal challenges throughout hospitality employment.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Principal Findings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conclusions consistently emerged throughout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Work-life conflict consistently predicts burnout, emotional exhaustion, psychological distress, and employee turnover intentions.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Irregular scheduling, excessive workloads, emotional labor, and job insecurity contribute substantially to occupational spillover.</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detachment from work is essential for effective recovery and long-term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Recovery experiences reduce emotional exhaustion while improving resilience and organizational commitment.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Supportive leadership, workplace flexibility, and healthy work-family cultures substantially reduce occupational spillover.</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Financial well-being moderates the relationship between occupational stress and burnout.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Workaholism and heavy work investment increase emotional exhaustion and reduce recovery opportunities.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these findings establish work-life conflict and impaired recovery as critical mechanisms linking occupational stress with broader psychological outcomes.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Gaps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S-005 identified several important opportunities for future investigation.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First, relatively few longitudinal studies examine recovery trajectories across hospitality careers.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Second, comparatively little research investigates occupational spillover among restaurant employees, casino workers, cruise employees, and gig economy hospitality workers.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Third, limited research examines recovery following critical workplace incidents, violence, or traumatic customer encounters.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Fourth, sleep disruption, circadian rhythm disturbance, and fatigue remain comparatively understudied despite their importance within hospitality 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Finally, additional intervention research is needed to evaluate organizational strategies designed to improve recovery, psychological detachment, and work-life balance.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These observations informed the development of subsequent HMHP evidence dossiers examining depression, anxiety, sleep, trauma, substance use, and suicide risk.</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Implications for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S-005 serves as the conceptual bridge between occupational psychology and clinical mental health within the Hospitality Mental Health Project.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Where previous evidence dossiers examined workplace stressors, emotional labor, burnout, and organizational protective factors, S-005 demonstrates how these experiences extend beyond the workplace into employees' personal lives through chronic occupational spillover, impaired recovery, financial stress, and persistent psychological activation.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Understanding recovery processes is therefore essential for interpreting subsequent evidence concerning depression, anxiety, sleep disturbance, trauma exposure, substance use, and suicide risk.</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Integrated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in S-005 positions work-life conflict, occupational spillover, and impaired recovery as the final transitional stage between organizational experiences and clinical psychological outcomes within the HMHP Integrated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Occupational demands that are not successfully interrupted through recovery continue to influence employees after the workday ends, affecting family relationships, leisure, sleep, physical health, and emotional functioning. Over time, chronic occupational spillover increases vulnerability to depression, anxiety disorders, sleep disturbance, substance misuse, and other clinically significant mental health conditions.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Within the HMHP framework, S-005 represents the final organizational pathway before the project transitions into the clinical mental health literature.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Overall Assessment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S-005 demonstrates that work-life conflict, recovery, and occupational spillover represent mature and theoretically well-developed areas within hospitality employee mental health research. The literature is internationally representative and supported by substantial empirical evidence.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findings consistently demonstrate that psychological detachment, recovery experiences, workplace flexibility, supportive leadership, and healthy work-family cultures reduce occupational spillover while improving employee well-being and long-term occupational sustainability.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Overall confidence in the available evidence is </w:t>
      </w:r>
      <w:r>
        <w:rPr>
          <w:rFonts w:ascii="Times New Roman" w:hAnsi="Times New Roman"/>
          <w:b w:val="1"/>
          <w:bCs w:val="1"/>
          <w:rtl w:val="0"/>
          <w:lang w:val="en-US"/>
        </w:rPr>
        <w:t>very high</w:t>
      </w:r>
      <w:r>
        <w:rPr>
          <w:rFonts w:ascii="Times New Roman" w:hAnsi="Times New Roman"/>
          <w:rtl w:val="0"/>
          <w:lang w:val="en-US"/>
        </w:rPr>
        <w:t xml:space="preserve">, while confidence regarding work-life conflict and recovery as the principal bridge between occupational stress and clinical mental health outcomes is </w:t>
      </w:r>
      <w:r>
        <w:rPr>
          <w:rFonts w:ascii="Times New Roman" w:hAnsi="Times New Roman"/>
          <w:b w:val="1"/>
          <w:bCs w:val="1"/>
          <w:rtl w:val="0"/>
          <w:lang w:val="en-US"/>
        </w:rPr>
        <w:t>exceptionally high</w:t>
      </w:r>
      <w:r>
        <w:rPr>
          <w:rFonts w:ascii="Times New Roman" w:hAnsi="Times New Roman"/>
          <w:rtl w:val="0"/>
        </w:rPr>
        <w: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Tier I </w:t>
      </w:r>
      <w:r>
        <w:rPr>
          <w:rFonts w:ascii="Times New Roman" w:hAnsi="Times New Roman" w:hint="default"/>
          <w:b w:val="1"/>
          <w:bCs w:val="1"/>
          <w:rtl w:val="0"/>
        </w:rPr>
        <w:t xml:space="preserve">– </w:t>
      </w:r>
      <w:r>
        <w:rPr>
          <w:rFonts w:ascii="Times New Roman" w:hAnsi="Times New Roman"/>
          <w:b w:val="1"/>
          <w:bCs w:val="1"/>
          <w:rtl w:val="0"/>
          <w:lang w:val="en-US"/>
        </w:rPr>
        <w:t>Foundational Literature</w:t>
      </w:r>
    </w:p>
    <w:p>
      <w:pPr>
        <w:pStyle w:val="Default"/>
        <w:suppressAutoHyphens w:val="1"/>
        <w:spacing w:before="0" w:after="240" w:line="240" w:lineRule="auto"/>
        <w:rPr>
          <w:rStyle w:val="None"/>
          <w:rFonts w:ascii="Times New Roman" w:cs="Times New Roman" w:hAnsi="Times New Roman" w:eastAsia="Times New Roman"/>
          <w:i w:val="0"/>
          <w:iCs w:val="0"/>
        </w:rPr>
      </w:pPr>
      <w:r>
        <w:rPr>
          <w:rFonts w:ascii="Times New Roman" w:hAnsi="Times New Roman"/>
          <w:i w:val="0"/>
          <w:iCs w:val="0"/>
          <w:rtl w:val="0"/>
          <w:lang w:val="en-US"/>
        </w:rPr>
        <w:t xml:space="preserve">Adu, I. N., Owusu Boakye, K., &amp; Kyei-Frimpong, M. (2025). </w:t>
      </w:r>
      <w:r>
        <w:rPr>
          <w:rFonts w:ascii="Times New Roman" w:hAnsi="Times New Roman"/>
          <w:i w:val="1"/>
          <w:iCs w:val="1"/>
          <w:rtl w:val="0"/>
          <w:lang w:val="en-US"/>
        </w:rPr>
        <w:t>Finding solace in work-family culture as a predictor of work-family enrichment: Does gender matter?</w:t>
      </w:r>
      <w:r>
        <w:rPr>
          <w:rFonts w:ascii="Times New Roman" w:hAnsi="Times New Roman"/>
          <w:i w:val="0"/>
          <w:iCs w:val="0"/>
          <w:rtl w:val="0"/>
        </w:rPr>
        <w:t xml:space="preserve"> </w:t>
      </w:r>
      <w:r>
        <w:rPr>
          <w:rFonts w:ascii="Times New Roman" w:hAnsi="Times New Roman"/>
          <w:i w:val="1"/>
          <w:iCs w:val="1"/>
          <w:rtl w:val="0"/>
          <w:lang w:val="en-US"/>
        </w:rPr>
        <w:t>International Hospitality Review, 39</w:t>
      </w:r>
      <w:r>
        <w:rPr>
          <w:rFonts w:ascii="Times New Roman" w:hAnsi="Times New Roman"/>
          <w:i w:val="0"/>
          <w:iCs w:val="0"/>
          <w:rtl w:val="0"/>
        </w:rPr>
        <w:t xml:space="preserve">(2), 377.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"https://doi.org/10.1108/IHR-11-2023-0053"</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https://doi.org/10.1108/IHR-11-2023-0053</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 xml:space="preserve">Chandran, K. S., &amp; Abukhalifeh, A. N. (2021). </w:t>
      </w:r>
      <w:r>
        <w:rPr>
          <w:rFonts w:ascii="Times New Roman" w:hAnsi="Times New Roman"/>
          <w:i w:val="1"/>
          <w:iCs w:val="1"/>
          <w:rtl w:val="0"/>
          <w:lang w:val="en-US"/>
        </w:rPr>
        <w:t>Systematic literature review of research on work-life balance in hospitality industry since millennium.</w:t>
      </w:r>
      <w:r>
        <w:rPr>
          <w:rStyle w:val="None"/>
          <w:rFonts w:ascii="Times New Roman" w:hAnsi="Times New Roman"/>
          <w:i w:val="0"/>
          <w:iCs w:val="0"/>
          <w:rtl w:val="0"/>
        </w:rPr>
        <w:t xml:space="preserve"> </w:t>
      </w:r>
      <w:r>
        <w:rPr>
          <w:rFonts w:ascii="Times New Roman" w:hAnsi="Times New Roman"/>
          <w:i w:val="1"/>
          <w:iCs w:val="1"/>
          <w:rtl w:val="0"/>
          <w:lang w:val="en-US"/>
        </w:rPr>
        <w:t>Review of Integrative Business and Economics Research, 10</w:t>
      </w:r>
      <w:r>
        <w:rPr>
          <w:rStyle w:val="None"/>
          <w:rFonts w:ascii="Times New Roman" w:hAnsi="Times New Roman"/>
          <w:i w:val="0"/>
          <w:iCs w:val="0"/>
          <w:rtl w:val="0"/>
        </w:rPr>
        <w:t>(1), 14</w:t>
      </w:r>
      <w:r>
        <w:rPr>
          <w:rStyle w:val="None"/>
          <w:rFonts w:ascii="Times New Roman" w:hAnsi="Times New Roman" w:hint="default"/>
          <w:i w:val="0"/>
          <w:iCs w:val="0"/>
          <w:rtl w:val="0"/>
        </w:rPr>
        <w:t>–</w:t>
      </w:r>
      <w:r>
        <w:rPr>
          <w:rStyle w:val="None"/>
          <w:rFonts w:ascii="Times New Roman" w:hAnsi="Times New Roman"/>
          <w:i w:val="0"/>
          <w:iCs w:val="0"/>
          <w:rtl w:val="0"/>
        </w:rPr>
        <w:t>33.</w:t>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 xml:space="preserve">Elshaer, I. A., Azazz, A. M., Abdulaziz, A., Sameh, F., Ahmed, A. T., &amp; Emam, A. (2025). </w:t>
      </w:r>
      <w:r>
        <w:rPr>
          <w:rFonts w:ascii="Times New Roman" w:hAnsi="Times New Roman"/>
          <w:i w:val="1"/>
          <w:iCs w:val="1"/>
          <w:rtl w:val="0"/>
          <w:lang w:val="en-US"/>
        </w:rPr>
        <w:t>The lighter side of leadership: Exploring the role of humor in balancing work and family demands in tourism and hospitality.</w:t>
      </w:r>
      <w:r>
        <w:rPr>
          <w:rStyle w:val="None"/>
          <w:rFonts w:ascii="Times New Roman" w:hAnsi="Times New Roman"/>
          <w:i w:val="0"/>
          <w:iCs w:val="0"/>
          <w:rtl w:val="0"/>
        </w:rPr>
        <w:t xml:space="preserve"> </w:t>
      </w:r>
      <w:r>
        <w:rPr>
          <w:rFonts w:ascii="Times New Roman" w:hAnsi="Times New Roman"/>
          <w:i w:val="1"/>
          <w:iCs w:val="1"/>
          <w:rtl w:val="0"/>
          <w:lang w:val="en-US"/>
        </w:rPr>
        <w:t>Tourism and Hospitality, 6</w:t>
      </w:r>
      <w:r>
        <w:rPr>
          <w:rStyle w:val="None"/>
          <w:rFonts w:ascii="Times New Roman" w:hAnsi="Times New Roman"/>
          <w:i w:val="0"/>
          <w:iCs w:val="0"/>
          <w:rtl w:val="0"/>
        </w:rPr>
        <w:t xml:space="preserve">(2), 115.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"https://doi.org/10.3390/tourhosp6020115"</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https://doi.org/10.3390/tourhosp6020115</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lang w:val="en-US"/>
        </w:rPr>
        <w:t xml:space="preserve">Khairy, H. A., &amp; Salama, W. M. E. (2026). </w:t>
      </w:r>
      <w:r>
        <w:rPr>
          <w:rFonts w:ascii="Times New Roman" w:hAnsi="Times New Roman"/>
          <w:i w:val="1"/>
          <w:iCs w:val="1"/>
          <w:rtl w:val="0"/>
          <w:lang w:val="en-US"/>
        </w:rPr>
        <w:t>The impact of role overload on female hoteliers' intention to quit: The mediating role of work-family conflict and the moderating role of co-worker support.</w:t>
      </w:r>
      <w:r>
        <w:rPr>
          <w:rStyle w:val="None"/>
          <w:rFonts w:ascii="Times New Roman" w:hAnsi="Times New Roman"/>
          <w:i w:val="0"/>
          <w:iCs w:val="0"/>
          <w:rtl w:val="0"/>
        </w:rPr>
        <w:t xml:space="preserve"> </w:t>
      </w:r>
      <w:r>
        <w:rPr>
          <w:rFonts w:ascii="Times New Roman" w:hAnsi="Times New Roman"/>
          <w:i w:val="1"/>
          <w:iCs w:val="1"/>
          <w:rtl w:val="0"/>
          <w:lang w:val="en-US"/>
        </w:rPr>
        <w:t>Societies, 16</w:t>
      </w:r>
      <w:r>
        <w:rPr>
          <w:rStyle w:val="None"/>
          <w:rFonts w:ascii="Times New Roman" w:hAnsi="Times New Roman"/>
          <w:i w:val="0"/>
          <w:iCs w:val="0"/>
          <w:rtl w:val="0"/>
        </w:rPr>
        <w:t xml:space="preserve">(2), 39.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"https://doi.org/10.3390/soc16020039"</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https://doi.org/10.3390/soc16020039</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lang w:val="pt-PT"/>
        </w:rPr>
        <w:t xml:space="preserve">Sousa, C., &amp; Silva, L. (2025). </w:t>
      </w:r>
      <w:r>
        <w:rPr>
          <w:rFonts w:ascii="Times New Roman" w:hAnsi="Times New Roman"/>
          <w:i w:val="1"/>
          <w:iCs w:val="1"/>
          <w:rtl w:val="0"/>
          <w:lang w:val="en-US"/>
        </w:rPr>
        <w:t>Rest to Resist: How recovery shields well-being from work-family strain.</w:t>
      </w:r>
      <w:r>
        <w:rPr>
          <w:rStyle w:val="None"/>
          <w:rFonts w:ascii="Times New Roman" w:hAnsi="Times New Roman"/>
          <w:i w:val="0"/>
          <w:iCs w:val="0"/>
          <w:rtl w:val="0"/>
        </w:rPr>
        <w:t xml:space="preserve"> </w:t>
      </w:r>
      <w:r>
        <w:rPr>
          <w:rFonts w:ascii="Times New Roman" w:hAnsi="Times New Roman"/>
          <w:i w:val="1"/>
          <w:iCs w:val="1"/>
          <w:rtl w:val="0"/>
          <w:lang w:val="en-US"/>
        </w:rPr>
        <w:t>Behavioral Sciences, 15</w:t>
      </w:r>
      <w:r>
        <w:rPr>
          <w:rStyle w:val="None"/>
          <w:rFonts w:ascii="Times New Roman" w:hAnsi="Times New Roman"/>
          <w:i w:val="0"/>
          <w:iCs w:val="0"/>
          <w:rtl w:val="0"/>
        </w:rPr>
        <w:t xml:space="preserve">(8), 1089.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"https://doi.org/10.3390/bs15081089"</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https://doi.org/10.3390/bs15081089</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 xml:space="preserve">Xu, S., &amp; Zheng, C. C. (2019). </w:t>
      </w:r>
      <w:r>
        <w:rPr>
          <w:rFonts w:ascii="Times New Roman" w:hAnsi="Times New Roman"/>
          <w:i w:val="1"/>
          <w:iCs w:val="1"/>
          <w:rtl w:val="0"/>
          <w:lang w:val="en-US"/>
        </w:rPr>
        <w:t>Antecedents and outcomes of work</w:t>
      </w:r>
      <w:r>
        <w:rPr>
          <w:rFonts w:ascii="Times New Roman" w:hAnsi="Times New Roman" w:hint="default"/>
          <w:i w:val="1"/>
          <w:iCs w:val="1"/>
          <w:rtl w:val="0"/>
        </w:rPr>
        <w:t>–</w:t>
      </w:r>
      <w:r>
        <w:rPr>
          <w:rFonts w:ascii="Times New Roman" w:hAnsi="Times New Roman"/>
          <w:i w:val="1"/>
          <w:iCs w:val="1"/>
          <w:rtl w:val="0"/>
          <w:lang w:val="en-US"/>
        </w:rPr>
        <w:t>nonwork conflict in hospitality: A meta-analysis.International Journal of Contemporary Hospitality Management, 31</w:t>
      </w:r>
      <w:r>
        <w:rPr>
          <w:rStyle w:val="None"/>
          <w:rFonts w:ascii="Times New Roman" w:hAnsi="Times New Roman"/>
          <w:i w:val="0"/>
          <w:iCs w:val="0"/>
          <w:rtl w:val="0"/>
        </w:rPr>
        <w:t>(10), 3919</w:t>
      </w:r>
      <w:r>
        <w:rPr>
          <w:rStyle w:val="None"/>
          <w:rFonts w:ascii="Times New Roman" w:hAnsi="Times New Roman" w:hint="default"/>
          <w:i w:val="0"/>
          <w:iCs w:val="0"/>
          <w:rtl w:val="0"/>
        </w:rPr>
        <w:t>–</w:t>
      </w:r>
      <w:r>
        <w:rPr>
          <w:rStyle w:val="None"/>
          <w:rFonts w:ascii="Times New Roman" w:hAnsi="Times New Roman"/>
          <w:i w:val="0"/>
          <w:iCs w:val="0"/>
          <w:rtl w:val="0"/>
        </w:rPr>
        <w:t xml:space="preserve">3942.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"https://doi.org/10.1108/IJCHM-11-2018-0897"</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de-DE"/>
        </w:rPr>
        <w:t>https://doi.org/10.1108/IJCHM-11-2018-0897</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 xml:space="preserve">Zhang, R. (2026). </w:t>
      </w:r>
      <w:r>
        <w:rPr>
          <w:rFonts w:ascii="Times New Roman" w:hAnsi="Times New Roman"/>
          <w:i w:val="1"/>
          <w:iCs w:val="1"/>
          <w:rtl w:val="0"/>
          <w:lang w:val="en-US"/>
        </w:rPr>
        <w:t>Workplace flexibility and turnover intentions in hospitality: Sequential role of work-family conflict, well-being, and commitment.</w:t>
      </w:r>
      <w:r>
        <w:rPr>
          <w:rStyle w:val="None"/>
          <w:rFonts w:ascii="Times New Roman" w:hAnsi="Times New Roman"/>
          <w:i w:val="0"/>
          <w:iCs w:val="0"/>
          <w:rtl w:val="0"/>
        </w:rPr>
        <w:t xml:space="preserve"> </w:t>
      </w:r>
      <w:r>
        <w:rPr>
          <w:rFonts w:ascii="Times New Roman" w:hAnsi="Times New Roman"/>
          <w:i w:val="1"/>
          <w:iCs w:val="1"/>
          <w:rtl w:val="0"/>
          <w:lang w:val="en-US"/>
        </w:rPr>
        <w:t>Work, 83</w:t>
      </w:r>
      <w:r>
        <w:rPr>
          <w:rStyle w:val="None"/>
          <w:rFonts w:ascii="Times New Roman" w:hAnsi="Times New Roman"/>
          <w:i w:val="0"/>
          <w:iCs w:val="0"/>
          <w:rtl w:val="0"/>
        </w:rPr>
        <w:t>(4), 1198</w:t>
      </w:r>
      <w:r>
        <w:rPr>
          <w:rStyle w:val="None"/>
          <w:rFonts w:ascii="Times New Roman" w:hAnsi="Times New Roman" w:hint="default"/>
          <w:i w:val="0"/>
          <w:iCs w:val="0"/>
          <w:rtl w:val="0"/>
        </w:rPr>
        <w:t>–</w:t>
      </w:r>
      <w:r>
        <w:rPr>
          <w:rStyle w:val="None"/>
          <w:rFonts w:ascii="Times New Roman" w:hAnsi="Times New Roman"/>
          <w:i w:val="0"/>
          <w:iCs w:val="0"/>
          <w:rtl w:val="0"/>
        </w:rPr>
        <w:t xml:space="preserve">1211.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"https://doi.org/10.1177/10519815251396557"</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lang w:val="en-US"/>
        </w:rPr>
        <w:t>https://doi.org/10.1177/10519815251396557</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 xml:space="preserve">Tier II </w:t>
      </w:r>
      <w:r>
        <w:rPr>
          <w:rFonts w:ascii="Times New Roman" w:hAnsi="Times New Roman" w:hint="default"/>
          <w:b w:val="1"/>
          <w:bCs w:val="1"/>
          <w:rtl w:val="0"/>
        </w:rPr>
        <w:t xml:space="preserve">– </w:t>
      </w:r>
      <w:r>
        <w:rPr>
          <w:rFonts w:ascii="Times New Roman" w:hAnsi="Times New Roman"/>
          <w:b w:val="1"/>
          <w:bCs w:val="1"/>
          <w:rtl w:val="0"/>
          <w:lang w:val="en-US"/>
        </w:rPr>
        <w:t>Supporting Literature</w:t>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 xml:space="preserve">Arasli, H., Arici, H. E., </w:t>
      </w:r>
      <w:r>
        <w:rPr>
          <w:rStyle w:val="None"/>
          <w:rFonts w:ascii="Times New Roman" w:hAnsi="Times New Roman" w:hint="default"/>
          <w:i w:val="0"/>
          <w:iCs w:val="0"/>
          <w:rtl w:val="0"/>
        </w:rPr>
        <w:t>Ç</w:t>
      </w:r>
      <w:r>
        <w:rPr>
          <w:rStyle w:val="None"/>
          <w:rFonts w:ascii="Times New Roman" w:hAnsi="Times New Roman"/>
          <w:i w:val="0"/>
          <w:iCs w:val="0"/>
          <w:rtl w:val="0"/>
        </w:rPr>
        <w:t>akmako</w:t>
      </w:r>
      <w:r>
        <w:rPr>
          <w:rStyle w:val="None"/>
          <w:rFonts w:ascii="Times New Roman" w:hAnsi="Times New Roman" w:hint="default"/>
          <w:i w:val="0"/>
          <w:iCs w:val="0"/>
          <w:rtl w:val="0"/>
        </w:rPr>
        <w:t>ğ</w:t>
      </w:r>
      <w:r>
        <w:rPr>
          <w:rStyle w:val="None"/>
          <w:rFonts w:ascii="Times New Roman" w:hAnsi="Times New Roman"/>
          <w:i w:val="0"/>
          <w:iCs w:val="0"/>
          <w:rtl w:val="0"/>
        </w:rPr>
        <w:t>lu Ar</w:t>
      </w:r>
      <w:r>
        <w:rPr>
          <w:rStyle w:val="None"/>
          <w:rFonts w:ascii="Times New Roman" w:hAnsi="Times New Roman" w:hint="default"/>
          <w:i w:val="0"/>
          <w:iCs w:val="0"/>
          <w:rtl w:val="0"/>
        </w:rPr>
        <w:t>ı</w:t>
      </w:r>
      <w:r>
        <w:rPr>
          <w:rStyle w:val="None"/>
          <w:rFonts w:ascii="Times New Roman" w:hAnsi="Times New Roman"/>
          <w:i w:val="0"/>
          <w:iCs w:val="0"/>
          <w:rtl w:val="0"/>
        </w:rPr>
        <w:t>c</w:t>
      </w:r>
      <w:r>
        <w:rPr>
          <w:rStyle w:val="None"/>
          <w:rFonts w:ascii="Times New Roman" w:hAnsi="Times New Roman" w:hint="default"/>
          <w:i w:val="0"/>
          <w:iCs w:val="0"/>
          <w:rtl w:val="0"/>
        </w:rPr>
        <w:t>ı</w:t>
      </w:r>
      <w:r>
        <w:rPr>
          <w:rStyle w:val="None"/>
          <w:rFonts w:ascii="Times New Roman" w:hAnsi="Times New Roman"/>
          <w:i w:val="0"/>
          <w:iCs w:val="0"/>
          <w:rtl w:val="0"/>
        </w:rPr>
        <w:t>, N., Karata</w:t>
      </w:r>
      <w:r>
        <w:rPr>
          <w:rStyle w:val="None"/>
          <w:rFonts w:ascii="Times New Roman" w:hAnsi="Times New Roman" w:hint="default"/>
          <w:i w:val="0"/>
          <w:iCs w:val="0"/>
          <w:rtl w:val="0"/>
        </w:rPr>
        <w:t>ş</w:t>
      </w:r>
      <w:r>
        <w:rPr>
          <w:rStyle w:val="None"/>
          <w:rFonts w:ascii="Times New Roman" w:hAnsi="Times New Roman"/>
          <w:i w:val="0"/>
          <w:iCs w:val="0"/>
          <w:rtl w:val="0"/>
        </w:rPr>
        <w:t xml:space="preserve">, K., Saydam, M. B., &amp; Jarrar, Q. (2025). </w:t>
      </w:r>
      <w:r>
        <w:rPr>
          <w:rFonts w:ascii="Times New Roman" w:hAnsi="Times New Roman"/>
          <w:i w:val="1"/>
          <w:iCs w:val="1"/>
          <w:rtl w:val="0"/>
          <w:lang w:val="en-US"/>
        </w:rPr>
        <w:t>Heavy work investment and work-family conflict among hospitality employees: Examining the mediating role of burnout.</w:t>
      </w:r>
      <w:r>
        <w:rPr>
          <w:rStyle w:val="None"/>
          <w:rFonts w:ascii="Times New Roman" w:hAnsi="Times New Roman"/>
          <w:i w:val="0"/>
          <w:iCs w:val="0"/>
          <w:rtl w:val="0"/>
        </w:rPr>
        <w:t xml:space="preserve"> </w:t>
      </w:r>
      <w:r>
        <w:rPr>
          <w:rFonts w:ascii="Times New Roman" w:hAnsi="Times New Roman"/>
          <w:i w:val="1"/>
          <w:iCs w:val="1"/>
          <w:rtl w:val="0"/>
          <w:lang w:val="en-US"/>
        </w:rPr>
        <w:t>International Journal of Contemporary Hospitality Management.</w:t>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lang w:val="nl-NL"/>
        </w:rPr>
        <w:t xml:space="preserve">Brougham, D., Haar, J., Roche, M., &amp; Parker, J. (2023). </w:t>
      </w:r>
      <w:r>
        <w:rPr>
          <w:rFonts w:ascii="Times New Roman" w:hAnsi="Times New Roman"/>
          <w:i w:val="1"/>
          <w:iCs w:val="1"/>
          <w:rtl w:val="0"/>
          <w:lang w:val="en-US"/>
        </w:rPr>
        <w:t>Work-life balance, psychological detachment, and employee well-being: Implications for hospitality employees.</w:t>
      </w:r>
      <w:r>
        <w:rPr>
          <w:rStyle w:val="None"/>
          <w:rFonts w:ascii="Times New Roman" w:hAnsi="Times New Roman"/>
          <w:i w:val="0"/>
          <w:iCs w:val="0"/>
          <w:rtl w:val="0"/>
        </w:rPr>
        <w:t xml:space="preserve"> </w:t>
      </w:r>
      <w:r>
        <w:rPr>
          <w:rFonts w:ascii="Times New Roman" w:hAnsi="Times New Roman"/>
          <w:i w:val="1"/>
          <w:iCs w:val="1"/>
          <w:rtl w:val="0"/>
          <w:lang w:val="en-US"/>
        </w:rPr>
        <w:t>Journal of Human Resources in Hospitality &amp; Tourism.</w:t>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lang w:val="en-US"/>
        </w:rPr>
        <w:t xml:space="preserve">Choi, H., &amp; Kwon, K. (2022). </w:t>
      </w:r>
      <w:r>
        <w:rPr>
          <w:rFonts w:ascii="Times New Roman" w:hAnsi="Times New Roman"/>
          <w:i w:val="1"/>
          <w:iCs w:val="1"/>
          <w:rtl w:val="0"/>
          <w:lang w:val="en-US"/>
        </w:rPr>
        <w:t>Job insecurity and psychological well-being among hospitality workers during periods of organizational uncertainty.</w:t>
      </w:r>
      <w:r>
        <w:rPr>
          <w:rStyle w:val="None"/>
          <w:rFonts w:ascii="Times New Roman" w:hAnsi="Times New Roman"/>
          <w:i w:val="0"/>
          <w:iCs w:val="0"/>
          <w:rtl w:val="0"/>
        </w:rPr>
        <w:t xml:space="preserve"> </w:t>
      </w:r>
      <w:r>
        <w:rPr>
          <w:rFonts w:ascii="Times New Roman" w:hAnsi="Times New Roman"/>
          <w:i w:val="1"/>
          <w:iCs w:val="1"/>
          <w:rtl w:val="0"/>
          <w:lang w:val="en-US"/>
        </w:rPr>
        <w:t>International Journal of Hospitality Management.</w:t>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lang w:val="en-US"/>
        </w:rPr>
        <w:t xml:space="preserve">Deery, M., &amp; Jago, L. (2015). </w:t>
      </w:r>
      <w:r>
        <w:rPr>
          <w:rFonts w:ascii="Times New Roman" w:hAnsi="Times New Roman"/>
          <w:i w:val="1"/>
          <w:iCs w:val="1"/>
          <w:rtl w:val="0"/>
          <w:lang w:val="en-US"/>
        </w:rPr>
        <w:t>Revisiting talent management, work-life balance and retention strategies in hospitality and tourism.</w:t>
      </w:r>
      <w:r>
        <w:rPr>
          <w:rStyle w:val="None"/>
          <w:rFonts w:ascii="Times New Roman" w:hAnsi="Times New Roman"/>
          <w:i w:val="0"/>
          <w:iCs w:val="0"/>
          <w:rtl w:val="0"/>
        </w:rPr>
        <w:t xml:space="preserve"> </w:t>
      </w:r>
      <w:r>
        <w:rPr>
          <w:rFonts w:ascii="Times New Roman" w:hAnsi="Times New Roman"/>
          <w:i w:val="1"/>
          <w:iCs w:val="1"/>
          <w:rtl w:val="0"/>
          <w:lang w:val="en-US"/>
        </w:rPr>
        <w:t>International Journal of Contemporary Hospitality Management.</w:t>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lang w:val="it-IT"/>
        </w:rPr>
        <w:t xml:space="preserve">Karatepe, O. M., &amp; Kilic, H. (2015). </w:t>
      </w:r>
      <w:r>
        <w:rPr>
          <w:rFonts w:ascii="Times New Roman" w:hAnsi="Times New Roman"/>
          <w:i w:val="1"/>
          <w:iCs w:val="1"/>
          <w:rtl w:val="0"/>
          <w:lang w:val="en-US"/>
        </w:rPr>
        <w:t>Work-family conflict, emotional exhaustion, and job outcomes among frontline hotel employees.</w:t>
      </w:r>
      <w:r>
        <w:rPr>
          <w:rStyle w:val="None"/>
          <w:rFonts w:ascii="Times New Roman" w:hAnsi="Times New Roman"/>
          <w:i w:val="0"/>
          <w:iCs w:val="0"/>
          <w:rtl w:val="0"/>
        </w:rPr>
        <w:t xml:space="preserve"> </w:t>
      </w:r>
      <w:r>
        <w:rPr>
          <w:rFonts w:ascii="Times New Roman" w:hAnsi="Times New Roman"/>
          <w:i w:val="1"/>
          <w:iCs w:val="1"/>
          <w:rtl w:val="0"/>
          <w:lang w:val="en-US"/>
        </w:rPr>
        <w:t>International Journal of Contemporary Hospitality Management.</w:t>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i w:val="0"/>
          <w:iCs w:val="0"/>
          <w:rtl w:val="0"/>
        </w:rPr>
        <w:t xml:space="preserve">Oktavio, A., Nugroho, A., Basera, V., Kaihatu, T. S., &amp; Adityaji, R. (2025). </w:t>
      </w:r>
      <w:r>
        <w:rPr>
          <w:rFonts w:ascii="Times New Roman" w:hAnsi="Times New Roman"/>
          <w:i w:val="1"/>
          <w:iCs w:val="1"/>
          <w:rtl w:val="0"/>
          <w:lang w:val="en-US"/>
        </w:rPr>
        <w:t>Social support and human resource primacy in shift work and worker resilience.</w:t>
      </w:r>
      <w:r>
        <w:rPr>
          <w:rStyle w:val="None"/>
          <w:rFonts w:ascii="Times New Roman" w:hAnsi="Times New Roman"/>
          <w:i w:val="0"/>
          <w:iCs w:val="0"/>
          <w:rtl w:val="0"/>
        </w:rPr>
        <w:t xml:space="preserve"> </w:t>
      </w:r>
      <w:r>
        <w:rPr>
          <w:rFonts w:ascii="Times New Roman" w:hAnsi="Times New Roman"/>
          <w:i w:val="1"/>
          <w:iCs w:val="1"/>
          <w:rtl w:val="0"/>
          <w:lang w:val="en-US"/>
        </w:rPr>
        <w:t>SA Journal of Human Resource Management, 23.</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"https://doi.org/10.4102/sajhrm.v23i0.2877"</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rPr>
        <w:t>https://doi.org/10.4102/sajhrm.v23i0.2877</w:t>
      </w:r>
      <w:r>
        <w:rPr>
          <w:rFonts w:ascii="Times New Roman" w:cs="Times New Roman" w:hAnsi="Times New Roman" w:eastAsia="Times New Roman"/>
          <w:i w:val="1"/>
          <w:iCs w:val="1"/>
        </w:rPr>
        <w:fldChar w:fldCharType="end" w:fldLock="0"/>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rPr>
        <w:t xml:space="preserve">Robinson, R. N. S., Kralj, A., Solnet, D. J., Goh, E., &amp; Callan, V. J. (2016). </w:t>
      </w:r>
      <w:r>
        <w:rPr>
          <w:rStyle w:val="None"/>
          <w:rFonts w:ascii="Times New Roman" w:hAnsi="Times New Roman"/>
          <w:i w:val="1"/>
          <w:iCs w:val="1"/>
          <w:rtl w:val="0"/>
          <w:lang w:val="en-US"/>
        </w:rPr>
        <w:t>Attitudinal similarities and differences of hotel frontline occupations.</w:t>
      </w:r>
      <w:r>
        <w:rPr>
          <w:rFonts w:ascii="Times New Roman" w:hAnsi="Times New Roman"/>
          <w:rtl w:val="0"/>
        </w:rPr>
        <w:t xml:space="preserve"> </w:t>
      </w:r>
      <w:r>
        <w:rPr>
          <w:rStyle w:val="None"/>
          <w:rFonts w:ascii="Times New Roman" w:hAnsi="Times New Roman"/>
          <w:i w:val="1"/>
          <w:iCs w:val="1"/>
          <w:rtl w:val="0"/>
          <w:lang w:val="en-US"/>
        </w:rPr>
        <w:t>International Journal of Contemporary Hospitality Management, 28</w:t>
      </w:r>
      <w:r>
        <w:rPr>
          <w:rFonts w:ascii="Times New Roman" w:hAnsi="Times New Roman"/>
          <w:rtl w:val="0"/>
        </w:rPr>
        <w:t>(5), 1051</w:t>
      </w:r>
      <w:r>
        <w:rPr>
          <w:rFonts w:ascii="Times New Roman" w:hAnsi="Times New Roman" w:hint="default"/>
          <w:rtl w:val="0"/>
        </w:rPr>
        <w:t>–</w:t>
      </w:r>
      <w:r>
        <w:rPr>
          <w:rFonts w:ascii="Times New Roman" w:hAnsi="Times New Roman"/>
          <w:rtl w:val="0"/>
        </w:rPr>
        <w:t xml:space="preserve">1072. </w:t>
      </w:r>
      <w:r>
        <w:rPr>
          <w:rStyle w:val="Hyperlink.1"/>
          <w:rFonts w:ascii="Times New Roman" w:cs="Times New Roman" w:hAnsi="Times New Roman" w:eastAsia="Times New Roman"/>
        </w:rPr>
        <w:fldChar w:fldCharType="begin" w:fldLock="0"/>
      </w:r>
      <w:r>
        <w:rPr>
          <w:rStyle w:val="Hyperlink.1"/>
          <w:rFonts w:ascii="Times New Roman" w:cs="Times New Roman" w:hAnsi="Times New Roman" w:eastAsia="Times New Roman"/>
        </w:rPr>
        <w:instrText xml:space="preserve"> HYPERLINK "https://doi.org/10.1108/IJCHM-08-2014-0391"</w:instrText>
      </w:r>
      <w:r>
        <w:rPr>
          <w:rStyle w:val="Hyperlink.1"/>
          <w:rFonts w:ascii="Times New Roman" w:cs="Times New Roman" w:hAnsi="Times New Roman" w:eastAsia="Times New Roman"/>
        </w:rPr>
        <w:fldChar w:fldCharType="separate" w:fldLock="0"/>
      </w:r>
      <w:r>
        <w:rPr>
          <w:rStyle w:val="Hyperlink.1"/>
          <w:rFonts w:ascii="Times New Roman" w:hAnsi="Times New Roman"/>
          <w:rtl w:val="0"/>
          <w:lang w:val="en-US"/>
        </w:rPr>
        <w:t>https://doi.org/10.1108/IJCHM-08-2014-0391</w:t>
      </w:r>
      <w:r>
        <w:rPr>
          <w:rFonts w:ascii="Times New Roman" w:cs="Times New Roman" w:hAnsi="Times New Roman" w:eastAsia="Times New Roman"/>
        </w:rPr>
        <w:fldChar w:fldCharType="end" w:fldLock="0"/>
      </w:r>
    </w:p>
    <w:p>
      <w:pPr>
        <w:pStyle w:val="Default"/>
        <w:suppressAutoHyphens w:val="1"/>
        <w:spacing w:before="0" w:after="240" w:line="240" w:lineRule="auto"/>
        <w:rPr>
          <w:rStyle w:val="None"/>
          <w:rFonts w:ascii="Times New Roman" w:cs="Times New Roman" w:hAnsi="Times New Roman" w:eastAsia="Times New Roman"/>
          <w:i w:val="0"/>
          <w:iCs w:val="0"/>
        </w:rPr>
      </w:pPr>
      <w:r>
        <w:rPr>
          <w:rStyle w:val="None"/>
          <w:rFonts w:ascii="Times New Roman" w:hAnsi="Times New Roman" w:hint="default"/>
          <w:i w:val="0"/>
          <w:iCs w:val="0"/>
          <w:rtl w:val="0"/>
        </w:rPr>
        <w:t>Š</w:t>
      </w:r>
      <w:r>
        <w:rPr>
          <w:rStyle w:val="None"/>
          <w:rFonts w:ascii="Times New Roman" w:hAnsi="Times New Roman"/>
          <w:i w:val="0"/>
          <w:iCs w:val="0"/>
          <w:rtl w:val="0"/>
        </w:rPr>
        <w:t xml:space="preserve">uligoj, M. (2022). </w:t>
      </w:r>
      <w:r>
        <w:rPr>
          <w:rFonts w:ascii="Times New Roman" w:hAnsi="Times New Roman"/>
          <w:i w:val="1"/>
          <w:iCs w:val="1"/>
          <w:rtl w:val="0"/>
          <w:lang w:val="en-US"/>
        </w:rPr>
        <w:t>A Healthy Work Environment in the Slovenian Hotel Industry: Views of Employees Affected by the COVID-19 Pandemic.</w:t>
      </w:r>
      <w:r>
        <w:rPr>
          <w:rStyle w:val="None"/>
          <w:rFonts w:ascii="Times New Roman" w:hAnsi="Times New Roman"/>
          <w:i w:val="0"/>
          <w:iCs w:val="0"/>
          <w:rtl w:val="0"/>
        </w:rPr>
        <w:t xml:space="preserve"> </w:t>
      </w:r>
      <w:r>
        <w:rPr>
          <w:rFonts w:ascii="Times New Roman" w:hAnsi="Times New Roman"/>
          <w:i w:val="1"/>
          <w:iCs w:val="1"/>
          <w:rtl w:val="0"/>
          <w:lang w:val="de-DE"/>
        </w:rPr>
        <w:t>Dru</w:t>
      </w:r>
      <w:r>
        <w:rPr>
          <w:rFonts w:ascii="Times New Roman" w:hAnsi="Times New Roman" w:hint="default"/>
          <w:i w:val="1"/>
          <w:iCs w:val="1"/>
          <w:rtl w:val="0"/>
        </w:rPr>
        <w:t>š</w:t>
      </w:r>
      <w:r>
        <w:rPr>
          <w:rFonts w:ascii="Times New Roman" w:hAnsi="Times New Roman"/>
          <w:i w:val="1"/>
          <w:iCs w:val="1"/>
          <w:rtl w:val="0"/>
        </w:rPr>
        <w:t>tvena Istra</w:t>
      </w:r>
      <w:r>
        <w:rPr>
          <w:rFonts w:ascii="Times New Roman" w:hAnsi="Times New Roman" w:hint="default"/>
          <w:i w:val="1"/>
          <w:iCs w:val="1"/>
          <w:rtl w:val="0"/>
        </w:rPr>
        <w:t>ž</w:t>
      </w:r>
      <w:r>
        <w:rPr>
          <w:rFonts w:ascii="Times New Roman" w:hAnsi="Times New Roman"/>
          <w:i w:val="1"/>
          <w:iCs w:val="1"/>
          <w:rtl w:val="0"/>
        </w:rPr>
        <w:t>ivanja, 31</w:t>
      </w:r>
      <w:r>
        <w:rPr>
          <w:rStyle w:val="None"/>
          <w:rFonts w:ascii="Times New Roman" w:hAnsi="Times New Roman"/>
          <w:i w:val="0"/>
          <w:iCs w:val="0"/>
          <w:rtl w:val="0"/>
        </w:rPr>
        <w:t>(3), 405</w:t>
      </w:r>
      <w:r>
        <w:rPr>
          <w:rStyle w:val="None"/>
          <w:rFonts w:ascii="Times New Roman" w:hAnsi="Times New Roman" w:hint="default"/>
          <w:i w:val="0"/>
          <w:iCs w:val="0"/>
          <w:rtl w:val="0"/>
        </w:rPr>
        <w:t>–</w:t>
      </w:r>
      <w:r>
        <w:rPr>
          <w:rStyle w:val="None"/>
          <w:rFonts w:ascii="Times New Roman" w:hAnsi="Times New Roman"/>
          <w:i w:val="0"/>
          <w:iCs w:val="0"/>
          <w:rtl w:val="0"/>
        </w:rPr>
        <w:t xml:space="preserve">427. </w:t>
      </w:r>
      <w:r>
        <w:rPr>
          <w:rStyle w:val="Hyperlink.0"/>
          <w:rFonts w:ascii="Times New Roman" w:cs="Times New Roman" w:hAnsi="Times New Roman" w:eastAsia="Times New Roman"/>
          <w:i w:val="0"/>
          <w:iCs w:val="0"/>
          <w:u w:val="single"/>
        </w:rPr>
        <w:fldChar w:fldCharType="begin" w:fldLock="0"/>
      </w:r>
      <w:r>
        <w:rPr>
          <w:rStyle w:val="Hyperlink.0"/>
          <w:rFonts w:ascii="Times New Roman" w:cs="Times New Roman" w:hAnsi="Times New Roman" w:eastAsia="Times New Roman"/>
          <w:i w:val="0"/>
          <w:iCs w:val="0"/>
          <w:u w:val="single"/>
        </w:rPr>
        <w:instrText xml:space="preserve"> HYPERLINK "https://doi.org/10.5559/di.31.3.02"</w:instrText>
      </w:r>
      <w:r>
        <w:rPr>
          <w:rStyle w:val="Hyperlink.0"/>
          <w:rFonts w:ascii="Times New Roman" w:cs="Times New Roman" w:hAnsi="Times New Roman" w:eastAsia="Times New Roman"/>
          <w:i w:val="0"/>
          <w:iCs w:val="0"/>
          <w:u w:val="single"/>
        </w:rPr>
        <w:fldChar w:fldCharType="separate" w:fldLock="0"/>
      </w:r>
      <w:r>
        <w:rPr>
          <w:rStyle w:val="Hyperlink.0"/>
          <w:rFonts w:ascii="Times New Roman" w:hAnsi="Times New Roman"/>
          <w:i w:val="0"/>
          <w:iCs w:val="0"/>
          <w:u w:val="single"/>
          <w:rtl w:val="0"/>
        </w:rPr>
        <w:t>https://doi.org/10.5559/di.31.3.02</w:t>
      </w:r>
      <w:r>
        <w:rPr>
          <w:rFonts w:ascii="Times New Roman" w:cs="Times New Roman" w:hAnsi="Times New Roman" w:eastAsia="Times New Roman"/>
          <w:i w:val="1"/>
          <w:iCs w:val="1"/>
        </w:rPr>
        <w:fldChar w:fldCharType="end" w:fldLock="0"/>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Investigator Notes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Work-life conflict represents the mechanism through which occupational stress extends beyond the workplace and begins affecting employees' personal relationships, recovery, physical health, and overall psychological functioning.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detachment from work consistently emerges as one of the strongest protective factors against chronic occupational stress. Employees who are able to mentally disengage from work experience lower burnout, greater resilience, and improved long-term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Supportive leadership, flexible scheduling, healthy work-family cultures, financial stability, and organizational support substantially reduce occupational spillover while improving employee retention, engagement, and psychological health.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S-005 completes the occupational psychology portion of the HMHP Integrated Conceptual Framework. It demonstrates how workplace experiences continue affecting employees after the workday ends, creating the conditions under which chronic psychological strain may develop into clinically significant mental health disorders.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Summary</w:t>
      </w:r>
    </w:p>
    <w:p>
      <w:pPr>
        <w:pStyle w:val="Default"/>
        <w:suppressAutoHyphens w:val="1"/>
        <w:spacing w:before="0" w:after="240" w:line="240" w:lineRule="auto"/>
      </w:pPr>
      <w:r>
        <w:rPr>
          <w:rFonts w:ascii="Times New Roman" w:hAnsi="Times New Roman"/>
          <w:rtl w:val="0"/>
          <w:lang w:val="en-US"/>
        </w:rPr>
        <w:t>Evidence Dossier S-005 establishes work-life conflict, recovery, and occupational spillover as the final organizational pathway linking hospitality work with broader psychological health outcomes. Across hotels, restaurants, tourism organizations, and related hospitality settings, employees frequently experience work-family conflict, scheduling instability, emotional carryover, financial strain, and impaired opportunities for psychological recovery. The literature consistently demonstrates that these experiences contribute to burnout, emotional exhaustion, diminished well-being, and increased turnover intentions while simultaneously increasing vulnerability to chronic psychological strain. Recovery experiences, psychological detachment, workplace flexibility, supportive leadership, and healthy organizational cultures consistently reduce these adverse outcomes. Collectively, the findings of Evidence Dossier S-005 identify occupational spillover as the critical transition between workplace psychology and clinical mental health, providing the conceptual bridge to the depression, anxiety, sleep disturbance, trauma, substance use, and suicide literature examined throughout the remainder of the Hospitality Mental Health Project.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i w:val="0"/>
      <w:iCs w:val="0"/>
      <w:u w:val="single"/>
    </w:rPr>
  </w:style>
  <w:style w:type="character" w:styleId="Hyperlink.1">
    <w:name w:val="Hyperlink.1"/>
    <w:basedOn w:val="None"/>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