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uppressAutoHyphens w:val="1"/>
        <w:spacing w:before="0" w:after="240" w:line="480" w:lineRule="auto"/>
        <w:jc w:val="center"/>
        <w:rPr>
          <w:rFonts w:ascii="Times New Roman" w:hAnsi="Times New Roman"/>
          <w:b w:val="1"/>
          <w:bCs w:val="1"/>
        </w:rPr>
      </w:pPr>
    </w:p>
    <w:p>
      <w:pPr>
        <w:pStyle w:val="Default"/>
        <w:suppressAutoHyphens w:val="1"/>
        <w:spacing w:before="0" w:after="240" w:line="480" w:lineRule="auto"/>
        <w:jc w:val="center"/>
        <w:rPr>
          <w:rFonts w:ascii="Times New Roman" w:hAnsi="Times New Roman"/>
          <w:b w:val="1"/>
          <w:bCs w:val="1"/>
        </w:rPr>
      </w:pPr>
    </w:p>
    <w:p>
      <w:pPr>
        <w:pStyle w:val="Default"/>
        <w:suppressAutoHyphens w:val="1"/>
        <w:spacing w:before="0" w:line="480" w:lineRule="auto"/>
        <w:jc w:val="center"/>
        <w:rPr>
          <w:rFonts w:ascii="Times New Roman" w:hAnsi="Times New Roman"/>
          <w:b w:val="1"/>
          <w:bCs w:val="1"/>
        </w:rPr>
      </w:pPr>
    </w:p>
    <w:p>
      <w:pPr>
        <w:pStyle w:val="Default"/>
        <w:suppressAutoHyphens w:val="1"/>
        <w:spacing w:before="0" w:line="480" w:lineRule="auto"/>
        <w:jc w:val="center"/>
        <w:rPr>
          <w:rFonts w:ascii="Times New Roman" w:hAnsi="Times New Roman"/>
          <w:b w:val="1"/>
          <w:bCs w:val="1"/>
        </w:rPr>
      </w:pPr>
    </w:p>
    <w:p>
      <w:pPr>
        <w:pStyle w:val="Default"/>
        <w:suppressAutoHyphens w:val="1"/>
        <w:spacing w:before="0" w:line="480" w:lineRule="auto"/>
        <w:jc w:val="center"/>
        <w:rPr>
          <w:rFonts w:ascii="Times New Roman" w:cs="Times New Roman" w:hAnsi="Times New Roman" w:eastAsia="Times New Roman"/>
        </w:rPr>
      </w:pPr>
      <w:r>
        <w:rPr>
          <w:rFonts w:ascii="Times New Roman" w:hAnsi="Times New Roman"/>
          <w:b w:val="1"/>
          <w:bCs w:val="1"/>
          <w:rtl w:val="0"/>
          <w:lang w:val="en-US"/>
        </w:rPr>
        <w:t>Involuntary Commitment and Suicide Risk:</w:t>
      </w:r>
      <w:r>
        <w:rPr>
          <w:rFonts w:ascii="Times New Roman" w:cs="Times New Roman" w:hAnsi="Times New Roman" w:eastAsia="Times New Roman"/>
          <w:b w:val="1"/>
          <w:bCs w:val="1"/>
        </w:rPr>
        <w:br w:type="textWrapping"/>
      </w:r>
      <w:r>
        <w:rPr>
          <w:rFonts w:ascii="Times New Roman" w:hAnsi="Times New Roman"/>
          <w:b w:val="1"/>
          <w:bCs w:val="1"/>
          <w:rtl w:val="0"/>
          <w:lang w:val="en-US"/>
        </w:rPr>
        <w:t>A Mental Health Public Policy Analysis</w:t>
      </w:r>
    </w:p>
    <w:p>
      <w:pPr>
        <w:pStyle w:val="Default"/>
        <w:suppressAutoHyphens w:val="1"/>
        <w:spacing w:before="0" w:line="480" w:lineRule="auto"/>
        <w:jc w:val="center"/>
        <w:rPr>
          <w:rFonts w:ascii="Times New Roman" w:cs="Times New Roman" w:hAnsi="Times New Roman" w:eastAsia="Times New Roman"/>
        </w:rPr>
      </w:pPr>
      <w:r>
        <w:rPr>
          <w:rFonts w:ascii="Times New Roman" w:hAnsi="Times New Roman"/>
          <w:rtl w:val="0"/>
        </w:rPr>
        <w:t>Patrik Strate</w:t>
      </w:r>
      <w:r>
        <w:rPr>
          <w:rFonts w:ascii="Times New Roman" w:cs="Times New Roman" w:hAnsi="Times New Roman" w:eastAsia="Times New Roman"/>
        </w:rPr>
        <w:br w:type="textWrapping"/>
      </w:r>
      <w:r>
        <w:rPr>
          <w:rFonts w:ascii="Times New Roman" w:hAnsi="Times New Roman"/>
          <w:rtl w:val="0"/>
          <w:lang w:val="de-DE"/>
        </w:rPr>
        <w:t>Bellevue University</w:t>
      </w:r>
    </w:p>
    <w:p>
      <w:pPr>
        <w:pStyle w:val="Default"/>
        <w:suppressAutoHyphens w:val="1"/>
        <w:spacing w:before="0" w:line="480" w:lineRule="auto"/>
        <w:jc w:val="center"/>
        <w:rPr>
          <w:rFonts w:ascii="Times New Roman" w:cs="Times New Roman" w:hAnsi="Times New Roman" w:eastAsia="Times New Roman"/>
        </w:rPr>
      </w:pPr>
      <w:r>
        <w:rPr>
          <w:rFonts w:ascii="Times New Roman" w:hAnsi="Times New Roman"/>
          <w:rtl w:val="0"/>
          <w:lang w:val="en-US"/>
        </w:rPr>
        <w:t>MCC530-T303 Ethical, Legal, &amp; Professional Issues</w:t>
      </w:r>
      <w:r>
        <w:rPr>
          <w:rFonts w:ascii="Times New Roman" w:cs="Times New Roman" w:hAnsi="Times New Roman" w:eastAsia="Times New Roman"/>
        </w:rPr>
        <w:br w:type="textWrapping"/>
      </w:r>
      <w:r>
        <w:rPr>
          <w:rFonts w:ascii="Times New Roman" w:hAnsi="Times New Roman"/>
          <w:rtl w:val="0"/>
          <w:lang w:val="de-DE"/>
        </w:rPr>
        <w:t>Instructor: Jesse Kunwar</w:t>
      </w:r>
    </w:p>
    <w:p>
      <w:pPr>
        <w:pStyle w:val="Default"/>
        <w:suppressAutoHyphens w:val="1"/>
        <w:spacing w:before="0" w:line="480" w:lineRule="auto"/>
        <w:jc w:val="center"/>
        <w:rPr>
          <w:rFonts w:ascii="Times New Roman" w:cs="Times New Roman" w:hAnsi="Times New Roman" w:eastAsia="Times New Roman"/>
        </w:rPr>
      </w:pPr>
      <w:r>
        <w:rPr>
          <w:rFonts w:ascii="Times New Roman" w:hAnsi="Times New Roman"/>
          <w:rtl w:val="0"/>
          <w:lang w:val="en-US"/>
        </w:rPr>
        <w:t xml:space="preserve">May </w:t>
      </w:r>
      <w:r>
        <w:rPr>
          <w:rFonts w:ascii="Times New Roman" w:hAnsi="Times New Roman"/>
          <w:rtl w:val="0"/>
          <w:lang w:val="en-US"/>
        </w:rPr>
        <w:t>27</w:t>
      </w:r>
      <w:r>
        <w:rPr>
          <w:rFonts w:ascii="Times New Roman" w:hAnsi="Times New Roman"/>
          <w:rtl w:val="0"/>
          <w:lang w:val="en-US"/>
        </w:rPr>
        <w:t>, 2026</w:t>
      </w:r>
    </w:p>
    <w:p>
      <w:pPr>
        <w:pStyle w:val="Default"/>
        <w:suppressAutoHyphens w:val="1"/>
        <w:spacing w:before="0" w:after="240" w:line="480" w:lineRule="auto"/>
        <w:rPr>
          <w:rFonts w:ascii="Times New Roman" w:cs="Times New Roman" w:hAnsi="Times New Roman" w:eastAsia="Times New Roman"/>
        </w:rPr>
      </w:pPr>
    </w:p>
    <w:p>
      <w:pPr>
        <w:pStyle w:val="Default"/>
        <w:suppressAutoHyphens w:val="1"/>
        <w:spacing w:before="0" w:after="240" w:line="480" w:lineRule="auto"/>
        <w:rPr>
          <w:rFonts w:ascii="Times New Roman" w:cs="Times New Roman" w:hAnsi="Times New Roman" w:eastAsia="Times New Roman"/>
        </w:rPr>
      </w:pPr>
    </w:p>
    <w:p>
      <w:pPr>
        <w:pStyle w:val="Default"/>
        <w:suppressAutoHyphens w:val="1"/>
        <w:spacing w:before="0" w:after="240" w:line="480" w:lineRule="auto"/>
        <w:rPr>
          <w:rFonts w:ascii="Times New Roman" w:cs="Times New Roman" w:hAnsi="Times New Roman" w:eastAsia="Times New Roman"/>
        </w:rPr>
      </w:pPr>
    </w:p>
    <w:p>
      <w:pPr>
        <w:pStyle w:val="Default"/>
        <w:suppressAutoHyphens w:val="1"/>
        <w:spacing w:before="0" w:after="240" w:line="480" w:lineRule="auto"/>
        <w:rPr>
          <w:rFonts w:ascii="Times New Roman" w:cs="Times New Roman" w:hAnsi="Times New Roman" w:eastAsia="Times New Roman"/>
        </w:rPr>
      </w:pPr>
    </w:p>
    <w:p>
      <w:pPr>
        <w:pStyle w:val="Default"/>
        <w:suppressAutoHyphens w:val="1"/>
        <w:spacing w:before="0" w:after="240" w:line="480" w:lineRule="auto"/>
        <w:rPr>
          <w:rFonts w:ascii="Times New Roman" w:cs="Times New Roman" w:hAnsi="Times New Roman" w:eastAsia="Times New Roman"/>
        </w:rPr>
      </w:pPr>
    </w:p>
    <w:p>
      <w:pPr>
        <w:pStyle w:val="Default"/>
        <w:suppressAutoHyphens w:val="1"/>
        <w:spacing w:before="0" w:line="480" w:lineRule="auto"/>
        <w:rPr>
          <w:rFonts w:ascii="Times New Roman" w:cs="Times New Roman" w:hAnsi="Times New Roman" w:eastAsia="Times New Roman"/>
        </w:rPr>
      </w:pPr>
      <w:r>
        <w:rPr>
          <w:rFonts w:ascii="Times New Roman" w:hAnsi="Times New Roman"/>
          <w:b w:val="1"/>
          <w:bCs w:val="1"/>
          <w:rtl w:val="0"/>
          <w:lang w:val="en-US"/>
        </w:rPr>
        <w:t>AI Disclosure Statement:</w:t>
      </w:r>
    </w:p>
    <w:p>
      <w:pPr>
        <w:pStyle w:val="Default"/>
        <w:suppressAutoHyphens w:val="1"/>
        <w:spacing w:before="0" w:line="480" w:lineRule="auto"/>
      </w:pPr>
      <w:r>
        <w:rPr>
          <w:rFonts w:ascii="Times New Roman" w:hAnsi="Times New Roman"/>
          <w:rtl w:val="0"/>
          <w:lang w:val="en-US"/>
        </w:rPr>
        <w:t>AI tools were used to assist with organization and clarity. All reflections and analysis are my own.</w:t>
      </w:r>
      <w:r>
        <w:rPr>
          <w:rFonts w:ascii="Arial Unicode MS" w:cs="Arial Unicode MS" w:hAnsi="Arial Unicode MS" w:eastAsia="Arial Unicode MS"/>
          <w:b w:val="0"/>
          <w:bCs w:val="0"/>
          <w:i w:val="0"/>
          <w:iCs w:val="0"/>
        </w:rPr>
        <w:br w:type="page"/>
      </w:r>
    </w:p>
    <w:p>
      <w:pPr>
        <w:pStyle w:val="Default"/>
        <w:suppressAutoHyphens w:val="1"/>
        <w:spacing w:before="0" w:after="299" w:line="480" w:lineRule="auto"/>
        <w:jc w:val="center"/>
        <w:rPr>
          <w:rFonts w:ascii="Times New Roman" w:cs="Times New Roman" w:hAnsi="Times New Roman" w:eastAsia="Times New Roman"/>
          <w:b w:val="1"/>
          <w:bCs w:val="1"/>
        </w:rPr>
      </w:pPr>
      <w:r>
        <w:rPr>
          <w:rFonts w:ascii="Times New Roman" w:hAnsi="Times New Roman"/>
          <w:b w:val="1"/>
          <w:bCs w:val="1"/>
          <w:rtl w:val="0"/>
          <w:lang w:val="fr-FR"/>
        </w:rPr>
        <w:t>Introduction</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Mental health public policy serves as a critical framework guiding clinical decision-making, particularly in situations involving risk, autonomy, and legal responsibility. One of the most complex and ethically contested areas within this framework is the use of involuntary commitment for individuals at risk of suicide. This policy requires counselors to navigate the intersection of legal mandates, ethical principles, and clinical judgment under conditions of uncertainty and urgency. The purpose of this paper is to examine involuntary commitment as a public policy issue, explore the basis for my professional interest in this area, and identify specific, credible resources I will use to remain informed and ethically grounded in practice.</w:t>
      </w:r>
    </w:p>
    <w:p>
      <w:pPr>
        <w:pStyle w:val="Default"/>
        <w:suppressAutoHyphens w:val="1"/>
        <w:spacing w:before="0" w:after="299" w:line="480" w:lineRule="auto"/>
        <w:jc w:val="center"/>
        <w:rPr>
          <w:rFonts w:ascii="Times New Roman" w:cs="Times New Roman" w:hAnsi="Times New Roman" w:eastAsia="Times New Roman"/>
          <w:b w:val="1"/>
          <w:bCs w:val="1"/>
        </w:rPr>
      </w:pPr>
      <w:r>
        <w:rPr>
          <w:rFonts w:ascii="Times New Roman" w:hAnsi="Times New Roman"/>
          <w:b w:val="1"/>
          <w:bCs w:val="1"/>
          <w:rtl w:val="0"/>
          <w:lang w:val="en-US"/>
        </w:rPr>
        <w:t>Involuntary Commitment as a Public Policy Issue</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Involuntary commitment refers to the legal authority to detain and treat individuals experiencing severe mental health crises without their consent when they pose a danger to themselves or others. In the context of suicide risk, this intervention is typically justified when there is evidence of intent, planning, or impaired judgment that significantly increases the likelihood of self-harm.</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 xml:space="preserve">At the state level, Colorado Revised Statutes </w:t>
      </w:r>
      <w:r>
        <w:rPr>
          <w:rFonts w:ascii="Times New Roman" w:hAnsi="Times New Roman" w:hint="default"/>
          <w:rtl w:val="0"/>
        </w:rPr>
        <w:t xml:space="preserve">§ </w:t>
      </w:r>
      <w:r>
        <w:rPr>
          <w:rFonts w:ascii="Times New Roman" w:hAnsi="Times New Roman"/>
          <w:rtl w:val="0"/>
          <w:lang w:val="en-US"/>
        </w:rPr>
        <w:t>27-65-105 authorizes a 72-hour involuntary hold when an individual is determined to have a mental health disorder and presents a risk of harm or grave disability. While this statute is intended to protect vulnerable individuals during acute crises, its implementation raises concerns regarding due process and variability in clinical judgment (Corey et al., 2024). Risk assessment in these cases is inherently probabilistic rather than definitive, requiring clinicians to make decisions under conditions of uncertainty (Large et al., 2017).</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From a national perspective, involuntary commitment remains a subject of ongoing debate. Research indicates that while short-term hospitalization may reduce immediate risk, its long-term effectiveness in preventing suicide is less clear (Large et al., 2017). Additionally, some scholars argue that coercive interventions may contribute to stigma and reduce future help-seeking behaviors (Newton-Howes &amp; Mullen, 2011). These findings complicate the assumption that involuntary commitment is inherently beneficial and highlight the need for careful, case-by-case evaluation.</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Ethically, this issue reflects a direct tension between foundational principles. The ACA Code of Ethics (2014) emphasizes both respect for client autonomy and the counselor</w:t>
      </w:r>
      <w:r>
        <w:rPr>
          <w:rFonts w:ascii="Arial Unicode MS" w:hAnsi="Arial Unicode MS" w:hint="default"/>
          <w:rtl w:val="1"/>
        </w:rPr>
        <w:t>’</w:t>
      </w:r>
      <w:r>
        <w:rPr>
          <w:rFonts w:ascii="Times New Roman" w:hAnsi="Times New Roman"/>
          <w:rtl w:val="0"/>
          <w:lang w:val="en-US"/>
        </w:rPr>
        <w:t>s responsibility to protect clients from serious and foreseeable harm. Corey et al. (2024) further note that ethical decision-making in such situations requires balancing competing obligations rather than applying rigid rules. Involuntary commitment, therefore, is not merely a legal action but an ethical judgment requiring integration of multiple perspectives.</w:t>
      </w:r>
    </w:p>
    <w:p>
      <w:pPr>
        <w:pStyle w:val="Default"/>
        <w:suppressAutoHyphens w:val="1"/>
        <w:spacing w:before="0" w:after="299" w:line="480" w:lineRule="auto"/>
        <w:jc w:val="center"/>
        <w:rPr>
          <w:rFonts w:ascii="Times New Roman" w:cs="Times New Roman" w:hAnsi="Times New Roman" w:eastAsia="Times New Roman"/>
          <w:b w:val="1"/>
          <w:bCs w:val="1"/>
        </w:rPr>
      </w:pPr>
      <w:r>
        <w:rPr>
          <w:rFonts w:ascii="Times New Roman" w:hAnsi="Times New Roman"/>
          <w:b w:val="1"/>
          <w:bCs w:val="1"/>
          <w:rtl w:val="0"/>
          <w:lang w:val="en-US"/>
        </w:rPr>
        <w:t>Professional Interest and Ethical Significance</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My interest in involuntary commitment as a public policy issue stems from its central role in defining the counselor</w:t>
      </w:r>
      <w:r>
        <w:rPr>
          <w:rFonts w:ascii="Arial Unicode MS" w:hAnsi="Arial Unicode MS" w:hint="default"/>
          <w:rtl w:val="1"/>
        </w:rPr>
        <w:t>’</w:t>
      </w:r>
      <w:r>
        <w:rPr>
          <w:rFonts w:ascii="Times New Roman" w:hAnsi="Times New Roman"/>
          <w:rtl w:val="0"/>
          <w:lang w:val="en-US"/>
        </w:rPr>
        <w:t>s responsibility during moments of acute client vulnerability. As a future clinical mental health counselor, I recognize that decisions involving suicide risk represent some of the most consequential actions within professional practice. These situations demand not only technical competence but also a high level of ethical reasoning and self-awareness.</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What makes this issue particularly compelling is its inherent ambiguity. Unlike other areas of practice where guidelines may be more clearly defined, decisions regarding involuntary commitment require the counselor to interpret risk, assess capacity, and anticipate potential outcomes under conditions of uncertainty. This complexity challenges the counselor to move beyond procedural thinking and engage in reflective, ethically grounded decision-making (Corey et al., 2024).</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Additionally, I am particularly interested in the potential unintended consequences of involuntary commitment. While the policy is designed to prevent harm, it may disrupt the therapeutic alliance, create feelings of coercion, and discourage future engagement with mental health services (Newton-Howes &amp; Mullen, 2011). These concerns align with a broader commitment to trauma-informed care, which emphasizes safety, trust, and empowerment.</w:t>
      </w:r>
    </w:p>
    <w:p>
      <w:pPr>
        <w:pStyle w:val="Default"/>
        <w:suppressAutoHyphens w:val="1"/>
        <w:spacing w:before="0" w:after="240" w:line="480" w:lineRule="auto"/>
        <w:ind w:firstLine="720"/>
        <w:rPr>
          <w:rFonts w:ascii="Times New Roman" w:cs="Times New Roman" w:hAnsi="Times New Roman" w:eastAsia="Times New Roman"/>
        </w:rPr>
      </w:pPr>
      <w:r>
        <w:rPr>
          <w:rFonts w:ascii="Times New Roman" w:hAnsi="Times New Roman"/>
          <w:rtl w:val="0"/>
          <w:lang w:val="en-US"/>
        </w:rPr>
        <w:t>This issue is also closely connected to my long-term professional goal of developing expertise in working with individuals experiencing trauma and high-risk mental health conditions. Understanding how to navigate involuntary commitment responsibly is essential to ensuring that interventions are both ethically justified and clinically appropriate.</w:t>
      </w:r>
    </w:p>
    <w:p>
      <w:pPr>
        <w:pStyle w:val="Default"/>
        <w:suppressAutoHyphens w:val="1"/>
        <w:spacing w:before="0" w:after="299" w:line="480" w:lineRule="auto"/>
        <w:jc w:val="center"/>
        <w:rPr>
          <w:rFonts w:ascii="Times New Roman" w:cs="Times New Roman" w:hAnsi="Times New Roman" w:eastAsia="Times New Roman"/>
          <w:b w:val="1"/>
          <w:bCs w:val="1"/>
        </w:rPr>
      </w:pPr>
      <w:r>
        <w:rPr>
          <w:rFonts w:ascii="Times New Roman" w:hAnsi="Times New Roman"/>
          <w:b w:val="1"/>
          <w:bCs w:val="1"/>
          <w:rtl w:val="0"/>
          <w:lang w:val="en-US"/>
        </w:rPr>
        <w:t>Staying Informed: Resources and Professional Responsibility</w:t>
      </w:r>
    </w:p>
    <w:p>
      <w:pPr>
        <w:pStyle w:val="Default"/>
        <w:suppressAutoHyphens w:val="1"/>
        <w:spacing w:before="0" w:after="240" w:line="480" w:lineRule="auto"/>
        <w:ind w:firstLine="720"/>
        <w:rPr>
          <w:rStyle w:val="None"/>
          <w:rFonts w:ascii="Times New Roman" w:cs="Times New Roman" w:hAnsi="Times New Roman" w:eastAsia="Times New Roman"/>
        </w:rPr>
      </w:pPr>
      <w:r>
        <w:rPr>
          <w:rFonts w:ascii="Times New Roman" w:hAnsi="Times New Roman"/>
          <w:rtl w:val="0"/>
          <w:lang w:val="en-US"/>
        </w:rPr>
        <w:t>Maintaining competence in this area requires ongoing engagement with legal, ethical, and empirical sources. To remain informed about involuntary commitment policies, I will regularly consult the Colorado General Assembly website (</w:t>
      </w:r>
      <w:r>
        <w:rPr>
          <w:rStyle w:val="Hyperlink.0"/>
        </w:rPr>
        <w:fldChar w:fldCharType="begin" w:fldLock="0"/>
      </w:r>
      <w:r>
        <w:rPr>
          <w:rStyle w:val="Hyperlink.0"/>
        </w:rPr>
        <w:instrText xml:space="preserve"> HYPERLINK "https://leg.colorado.gov/"</w:instrText>
      </w:r>
      <w:r>
        <w:rPr>
          <w:rStyle w:val="Hyperlink.0"/>
        </w:rPr>
        <w:fldChar w:fldCharType="separate" w:fldLock="0"/>
      </w:r>
      <w:r>
        <w:rPr>
          <w:rStyle w:val="Hyperlink.0"/>
          <w:rtl w:val="0"/>
          <w:lang w:val="pt-PT"/>
        </w:rPr>
        <w:t>https://leg.colorado.gov</w:t>
      </w:r>
      <w:r>
        <w:rPr/>
        <w:fldChar w:fldCharType="end" w:fldLock="0"/>
      </w:r>
      <w:r>
        <w:rPr>
          <w:rStyle w:val="None"/>
          <w:rFonts w:ascii="Times New Roman" w:hAnsi="Times New Roman"/>
          <w:rtl w:val="0"/>
          <w:lang w:val="en-US"/>
        </w:rPr>
        <w:t xml:space="preserve">) to review updates to Colorado Revised Statutes </w:t>
      </w:r>
      <w:r>
        <w:rPr>
          <w:rStyle w:val="None"/>
          <w:rFonts w:ascii="Times New Roman" w:hAnsi="Times New Roman" w:hint="default"/>
          <w:rtl w:val="0"/>
        </w:rPr>
        <w:t xml:space="preserve">§ </w:t>
      </w:r>
      <w:r>
        <w:rPr>
          <w:rStyle w:val="None"/>
          <w:rFonts w:ascii="Times New Roman" w:hAnsi="Times New Roman"/>
          <w:rtl w:val="0"/>
          <w:lang w:val="en-US"/>
        </w:rPr>
        <w:t>27-65-105. This will ensure that my understanding of state law remains current and that my practice aligns with legal requirements governing involuntary mental health holds.</w:t>
      </w:r>
    </w:p>
    <w:p>
      <w:pPr>
        <w:pStyle w:val="Default"/>
        <w:suppressAutoHyphens w:val="1"/>
        <w:spacing w:before="0" w:after="240" w:line="480" w:lineRule="auto"/>
        <w:ind w:firstLine="720"/>
        <w:rPr>
          <w:rStyle w:val="None"/>
          <w:rFonts w:ascii="Times New Roman" w:cs="Times New Roman" w:hAnsi="Times New Roman" w:eastAsia="Times New Roman"/>
        </w:rPr>
      </w:pPr>
      <w:r>
        <w:rPr>
          <w:rStyle w:val="None"/>
          <w:rFonts w:ascii="Times New Roman" w:hAnsi="Times New Roman"/>
          <w:rtl w:val="0"/>
          <w:lang w:val="en-US"/>
        </w:rPr>
        <w:t xml:space="preserve">In addition to legal statutes, I will rely on guidance from the American Counseling Association (ACA), particularly the </w:t>
      </w:r>
      <w:r>
        <w:rPr>
          <w:rStyle w:val="None"/>
          <w:rFonts w:ascii="Times New Roman" w:hAnsi="Times New Roman"/>
          <w:i w:val="1"/>
          <w:iCs w:val="1"/>
          <w:rtl w:val="0"/>
          <w:lang w:val="en-US"/>
        </w:rPr>
        <w:t>ACA Code of Ethics</w:t>
      </w:r>
      <w:r>
        <w:rPr>
          <w:rStyle w:val="None"/>
          <w:rFonts w:ascii="Times New Roman" w:hAnsi="Times New Roman"/>
          <w:rtl w:val="0"/>
          <w:lang w:val="en-US"/>
        </w:rPr>
        <w:t xml:space="preserve"> (2014), which provides a framework for navigating conflicts between client autonomy and the duty to protect. The ACA website (</w:t>
      </w:r>
      <w:r>
        <w:rPr>
          <w:rStyle w:val="Hyperlink.1"/>
        </w:rPr>
        <w:fldChar w:fldCharType="begin" w:fldLock="0"/>
      </w:r>
      <w:r>
        <w:rPr>
          <w:rStyle w:val="Hyperlink.1"/>
        </w:rPr>
        <w:instrText xml:space="preserve"> HYPERLINK "https://www.counseling.org/"</w:instrText>
      </w:r>
      <w:r>
        <w:rPr>
          <w:rStyle w:val="Hyperlink.1"/>
        </w:rPr>
        <w:fldChar w:fldCharType="separate" w:fldLock="0"/>
      </w:r>
      <w:r>
        <w:rPr>
          <w:rStyle w:val="Hyperlink.1"/>
          <w:rtl w:val="0"/>
          <w:lang w:val="en-US"/>
        </w:rPr>
        <w:t>https://www.counseling.org</w:t>
      </w:r>
      <w:r>
        <w:rPr/>
        <w:fldChar w:fldCharType="end" w:fldLock="0"/>
      </w:r>
      <w:r>
        <w:rPr>
          <w:rStyle w:val="None"/>
          <w:rFonts w:ascii="Times New Roman" w:hAnsi="Times New Roman"/>
          <w:rtl w:val="0"/>
          <w:lang w:val="en-US"/>
        </w:rPr>
        <w:t>) also offers professional publications and updates that address emerging ethical issues in counseling practice.</w:t>
      </w:r>
    </w:p>
    <w:p>
      <w:pPr>
        <w:pStyle w:val="Default"/>
        <w:suppressAutoHyphens w:val="1"/>
        <w:spacing w:before="0" w:after="240" w:line="480" w:lineRule="auto"/>
        <w:ind w:firstLine="720"/>
        <w:rPr>
          <w:rStyle w:val="None"/>
          <w:rFonts w:ascii="Times New Roman" w:cs="Times New Roman" w:hAnsi="Times New Roman" w:eastAsia="Times New Roman"/>
        </w:rPr>
      </w:pPr>
      <w:r>
        <w:rPr>
          <w:rStyle w:val="None"/>
          <w:rFonts w:ascii="Times New Roman" w:hAnsi="Times New Roman"/>
          <w:rtl w:val="0"/>
          <w:lang w:val="en-US"/>
        </w:rPr>
        <w:t xml:space="preserve">To stay informed about national trends and evidence-based practices, I will utilize resources from the Substance Abuse and Mental Health Services Administration (SAMHSA) and the National Institute of Mental Health (NIMH). SAMHSA (2023), available at </w:t>
      </w:r>
      <w:r>
        <w:rPr>
          <w:rStyle w:val="Hyperlink.2"/>
        </w:rPr>
        <w:fldChar w:fldCharType="begin" w:fldLock="0"/>
      </w:r>
      <w:r>
        <w:rPr>
          <w:rStyle w:val="Hyperlink.2"/>
        </w:rPr>
        <w:instrText xml:space="preserve"> HYPERLINK "https://www.samhsa.gov/"</w:instrText>
      </w:r>
      <w:r>
        <w:rPr>
          <w:rStyle w:val="Hyperlink.2"/>
        </w:rPr>
        <w:fldChar w:fldCharType="separate" w:fldLock="0"/>
      </w:r>
      <w:r>
        <w:rPr>
          <w:rStyle w:val="Hyperlink.2"/>
          <w:rtl w:val="0"/>
          <w:lang w:val="en-US"/>
        </w:rPr>
        <w:t>https://www.samhsa.gov</w:t>
      </w:r>
      <w:r>
        <w:rPr/>
        <w:fldChar w:fldCharType="end" w:fldLock="0"/>
      </w:r>
      <w:r>
        <w:rPr>
          <w:rStyle w:val="None"/>
          <w:rFonts w:ascii="Times New Roman" w:hAnsi="Times New Roman"/>
          <w:rtl w:val="0"/>
          <w:lang w:val="en-US"/>
        </w:rPr>
        <w:t xml:space="preserve">, provides policy reports, clinical guidelines, and national data related to suicide prevention and crisis intervention. Similarly, NIMH (2023), accessible at </w:t>
      </w:r>
      <w:r>
        <w:rPr>
          <w:rStyle w:val="Hyperlink.3"/>
        </w:rPr>
        <w:fldChar w:fldCharType="begin" w:fldLock="0"/>
      </w:r>
      <w:r>
        <w:rPr>
          <w:rStyle w:val="Hyperlink.3"/>
        </w:rPr>
        <w:instrText xml:space="preserve"> HYPERLINK "https://www.nimh.nih.gov/"</w:instrText>
      </w:r>
      <w:r>
        <w:rPr>
          <w:rStyle w:val="Hyperlink.3"/>
        </w:rPr>
        <w:fldChar w:fldCharType="separate" w:fldLock="0"/>
      </w:r>
      <w:r>
        <w:rPr>
          <w:rStyle w:val="Hyperlink.3"/>
          <w:rtl w:val="0"/>
        </w:rPr>
        <w:t>https://www.nimh.nih.gov</w:t>
      </w:r>
      <w:r>
        <w:rPr/>
        <w:fldChar w:fldCharType="end" w:fldLock="0"/>
      </w:r>
      <w:r>
        <w:rPr>
          <w:rStyle w:val="None"/>
          <w:rFonts w:ascii="Times New Roman" w:hAnsi="Times New Roman"/>
          <w:rtl w:val="0"/>
          <w:lang w:val="en-US"/>
        </w:rPr>
        <w:t>, offers current research on suicide risk factors, treatment outcomes, and prevention strategies. National data from these organizations indicate that suicide remains a significant public health concern, reinforcing the importance of effective and ethically sound intervention strategies.</w:t>
      </w:r>
    </w:p>
    <w:p>
      <w:pPr>
        <w:pStyle w:val="Default"/>
        <w:suppressAutoHyphens w:val="1"/>
        <w:spacing w:before="0" w:after="240" w:line="480" w:lineRule="auto"/>
        <w:ind w:firstLine="720"/>
        <w:rPr>
          <w:rStyle w:val="None"/>
          <w:rFonts w:ascii="Times New Roman" w:cs="Times New Roman" w:hAnsi="Times New Roman" w:eastAsia="Times New Roman"/>
        </w:rPr>
      </w:pPr>
      <w:r>
        <w:rPr>
          <w:rStyle w:val="None"/>
          <w:rFonts w:ascii="Times New Roman" w:hAnsi="Times New Roman"/>
          <w:rtl w:val="0"/>
          <w:lang w:val="en-US"/>
        </w:rPr>
        <w:t xml:space="preserve">Peer-reviewed literature will also play a central role in maintaining professional competence. I will access journals such as the </w:t>
      </w:r>
      <w:r>
        <w:rPr>
          <w:rStyle w:val="None"/>
          <w:rFonts w:ascii="Times New Roman" w:hAnsi="Times New Roman"/>
          <w:i w:val="1"/>
          <w:iCs w:val="1"/>
          <w:rtl w:val="0"/>
          <w:lang w:val="en-US"/>
        </w:rPr>
        <w:t>Journal of Counseling &amp; Development</w:t>
      </w:r>
      <w:r>
        <w:rPr>
          <w:rStyle w:val="None"/>
          <w:rFonts w:ascii="Times New Roman" w:hAnsi="Times New Roman"/>
          <w:rtl w:val="0"/>
          <w:lang w:val="en-US"/>
        </w:rPr>
        <w:t xml:space="preserve"> and </w:t>
      </w:r>
      <w:r>
        <w:rPr>
          <w:rStyle w:val="None"/>
          <w:rFonts w:ascii="Times New Roman" w:hAnsi="Times New Roman"/>
          <w:i w:val="1"/>
          <w:iCs w:val="1"/>
          <w:rtl w:val="0"/>
          <w:lang w:val="en-US"/>
        </w:rPr>
        <w:t>Administration and Policy in Mental Health and Mental Health Services Research</w:t>
      </w:r>
      <w:r>
        <w:rPr>
          <w:rStyle w:val="None"/>
          <w:rFonts w:ascii="Times New Roman" w:hAnsi="Times New Roman"/>
          <w:rtl w:val="0"/>
          <w:lang w:val="en-US"/>
        </w:rPr>
        <w:t xml:space="preserve"> through the Bellevue University library. Regular engagement with scholarly research will allow me to critically evaluate the effectiveness and implications of involuntary commitment practices.</w:t>
      </w:r>
    </w:p>
    <w:p>
      <w:pPr>
        <w:pStyle w:val="Default"/>
        <w:suppressAutoHyphens w:val="1"/>
        <w:spacing w:before="0" w:after="240" w:line="480" w:lineRule="auto"/>
        <w:ind w:firstLine="720"/>
        <w:rPr>
          <w:rStyle w:val="None"/>
          <w:rFonts w:ascii="Times New Roman" w:cs="Times New Roman" w:hAnsi="Times New Roman" w:eastAsia="Times New Roman"/>
        </w:rPr>
      </w:pPr>
      <w:r>
        <w:rPr>
          <w:rStyle w:val="None"/>
          <w:rFonts w:ascii="Times New Roman" w:hAnsi="Times New Roman"/>
          <w:rtl w:val="0"/>
          <w:lang w:val="en-US"/>
        </w:rPr>
        <w:t>Finally, I will monitor policy developments and advocacy efforts through organizations such as the American Foundation for Suicide Prevention (</w:t>
      </w:r>
      <w:r>
        <w:rPr>
          <w:rStyle w:val="Hyperlink.4"/>
        </w:rPr>
        <w:fldChar w:fldCharType="begin" w:fldLock="0"/>
      </w:r>
      <w:r>
        <w:rPr>
          <w:rStyle w:val="Hyperlink.4"/>
        </w:rPr>
        <w:instrText xml:space="preserve"> HYPERLINK "https://afsp.org/"</w:instrText>
      </w:r>
      <w:r>
        <w:rPr>
          <w:rStyle w:val="Hyperlink.4"/>
        </w:rPr>
        <w:fldChar w:fldCharType="separate" w:fldLock="0"/>
      </w:r>
      <w:r>
        <w:rPr>
          <w:rStyle w:val="Hyperlink.4"/>
          <w:rtl w:val="0"/>
          <w:lang w:val="de-DE"/>
        </w:rPr>
        <w:t>https://afsp.org</w:t>
      </w:r>
      <w:r>
        <w:rPr/>
        <w:fldChar w:fldCharType="end" w:fldLock="0"/>
      </w:r>
      <w:r>
        <w:rPr>
          <w:rStyle w:val="None"/>
          <w:rFonts w:ascii="Times New Roman" w:hAnsi="Times New Roman"/>
          <w:rtl w:val="0"/>
          <w:lang w:val="en-US"/>
        </w:rPr>
        <w:t>) and the Colorado Department of Human Services Behavioral Health division (</w:t>
      </w:r>
      <w:r>
        <w:rPr>
          <w:rStyle w:val="Hyperlink.0"/>
        </w:rPr>
        <w:fldChar w:fldCharType="begin" w:fldLock="0"/>
      </w:r>
      <w:r>
        <w:rPr>
          <w:rStyle w:val="Hyperlink.0"/>
        </w:rPr>
        <w:instrText xml:space="preserve"> HYPERLINK "https://cdhs.colorado.gov/"</w:instrText>
      </w:r>
      <w:r>
        <w:rPr>
          <w:rStyle w:val="Hyperlink.0"/>
        </w:rPr>
        <w:fldChar w:fldCharType="separate" w:fldLock="0"/>
      </w:r>
      <w:r>
        <w:rPr>
          <w:rStyle w:val="Hyperlink.0"/>
          <w:rtl w:val="0"/>
          <w:lang w:val="pt-PT"/>
        </w:rPr>
        <w:t>https://cdhs.colorado.gov</w:t>
      </w:r>
      <w:r>
        <w:rPr/>
        <w:fldChar w:fldCharType="end" w:fldLock="0"/>
      </w:r>
      <w:r>
        <w:rPr>
          <w:rStyle w:val="None"/>
          <w:rFonts w:ascii="Times New Roman" w:hAnsi="Times New Roman"/>
          <w:rtl w:val="0"/>
          <w:lang w:val="en-US"/>
        </w:rPr>
        <w:t>). These resources provide insight into both systemic changes and community-level responses to mental health crises, ensuring that my understanding remains both current and contextually informed.</w:t>
      </w:r>
    </w:p>
    <w:p>
      <w:pPr>
        <w:pStyle w:val="Default"/>
        <w:suppressAutoHyphens w:val="1"/>
        <w:spacing w:before="0" w:after="299" w:line="480" w:lineRule="auto"/>
        <w:jc w:val="center"/>
        <w:rPr>
          <w:rStyle w:val="None"/>
          <w:rFonts w:ascii="Times New Roman" w:cs="Times New Roman" w:hAnsi="Times New Roman" w:eastAsia="Times New Roman"/>
          <w:b w:val="1"/>
          <w:bCs w:val="1"/>
        </w:rPr>
      </w:pPr>
      <w:r>
        <w:rPr>
          <w:rStyle w:val="None"/>
          <w:rFonts w:ascii="Times New Roman" w:hAnsi="Times New Roman"/>
          <w:b w:val="1"/>
          <w:bCs w:val="1"/>
          <w:rtl w:val="0"/>
          <w:lang w:val="it-IT"/>
        </w:rPr>
        <w:t>Conclusion</w:t>
      </w:r>
    </w:p>
    <w:p>
      <w:pPr>
        <w:pStyle w:val="Default"/>
        <w:suppressAutoHyphens w:val="1"/>
        <w:spacing w:before="0" w:after="240" w:line="480" w:lineRule="auto"/>
        <w:ind w:firstLine="720"/>
        <w:rPr>
          <w:rStyle w:val="None"/>
          <w:rFonts w:ascii="Times New Roman" w:cs="Times New Roman" w:hAnsi="Times New Roman" w:eastAsia="Times New Roman"/>
        </w:rPr>
      </w:pPr>
      <w:r>
        <w:rPr>
          <w:rStyle w:val="None"/>
          <w:rFonts w:ascii="Times New Roman" w:hAnsi="Times New Roman"/>
          <w:rtl w:val="0"/>
          <w:lang w:val="en-US"/>
        </w:rPr>
        <w:t>Involuntary commitment for individuals at risk of suicide represents a complex and evolving area of mental health public policy that requires careful integration of legal knowledge, ethical principles, and clinical judgment. While the policy is intended to protect individuals during periods of acute vulnerability, it also raises important questions regarding autonomy, effectiveness, and the potential for unintended harm.</w:t>
      </w:r>
    </w:p>
    <w:p>
      <w:pPr>
        <w:pStyle w:val="Default"/>
        <w:suppressAutoHyphens w:val="1"/>
        <w:spacing w:before="0" w:after="240" w:line="480" w:lineRule="auto"/>
        <w:ind w:firstLine="720"/>
        <w:rPr>
          <w:rStyle w:val="None"/>
          <w:rFonts w:ascii="Times New Roman" w:cs="Times New Roman" w:hAnsi="Times New Roman" w:eastAsia="Times New Roman"/>
        </w:rPr>
      </w:pPr>
      <w:r>
        <w:rPr>
          <w:rStyle w:val="None"/>
          <w:rFonts w:ascii="Times New Roman" w:hAnsi="Times New Roman"/>
          <w:rtl w:val="0"/>
          <w:lang w:val="en-US"/>
        </w:rPr>
        <w:t>My interest in this issue reflects a commitment to developing the competence necessary to navigate these challenges thoughtfully and responsibly. By engaging with legal statutes, ethical guidelines, and empirical research, I will remain informed and prepared to make decisions that prioritize both client safety and dignity.</w:t>
      </w:r>
    </w:p>
    <w:p>
      <w:pPr>
        <w:pStyle w:val="Default"/>
        <w:suppressAutoHyphens w:val="1"/>
        <w:spacing w:before="0" w:after="240" w:line="480" w:lineRule="auto"/>
        <w:ind w:firstLine="720"/>
      </w:pPr>
      <w:r>
        <w:rPr>
          <w:rStyle w:val="None"/>
          <w:rFonts w:ascii="Times New Roman" w:hAnsi="Times New Roman"/>
          <w:rtl w:val="0"/>
          <w:lang w:val="en-US"/>
        </w:rPr>
        <w:t>Ultimately, this issue underscores the importance of approaching counseling practice with humility, critical thinking, and a strong ethical foundation. As I continue to develop professionally, I aim to contribute to a practice that is not only legally compliant but also deeply responsive to the needs and experiences of those I serve.</w:t>
      </w:r>
      <w:r>
        <w:rPr>
          <w:rStyle w:val="None"/>
          <w:rFonts w:ascii="Arial Unicode MS" w:cs="Arial Unicode MS" w:hAnsi="Arial Unicode MS" w:eastAsia="Arial Unicode MS"/>
          <w:b w:val="0"/>
          <w:bCs w:val="0"/>
          <w:i w:val="0"/>
          <w:iCs w:val="0"/>
        </w:rPr>
        <w:br w:type="page"/>
      </w:r>
    </w:p>
    <w:p>
      <w:pPr>
        <w:pStyle w:val="Default"/>
        <w:suppressAutoHyphens w:val="1"/>
        <w:spacing w:before="0" w:after="299" w:line="480" w:lineRule="auto"/>
        <w:jc w:val="center"/>
        <w:rPr>
          <w:rStyle w:val="None"/>
          <w:rFonts w:ascii="Times New Roman" w:cs="Times New Roman" w:hAnsi="Times New Roman" w:eastAsia="Times New Roman"/>
          <w:b w:val="1"/>
          <w:bCs w:val="1"/>
        </w:rPr>
      </w:pPr>
      <w:r>
        <w:rPr>
          <w:rStyle w:val="None"/>
          <w:rFonts w:ascii="Times New Roman" w:hAnsi="Times New Roman"/>
          <w:b w:val="1"/>
          <w:bCs w:val="1"/>
          <w:rtl w:val="0"/>
          <w:lang w:val="fr-FR"/>
        </w:rPr>
        <w:t>References</w:t>
      </w:r>
    </w:p>
    <w:p>
      <w:pPr>
        <w:pStyle w:val="Default"/>
        <w:suppressAutoHyphens w:val="1"/>
        <w:spacing w:before="0" w:after="240" w:line="480" w:lineRule="auto"/>
        <w:ind w:left="720" w:hanging="720"/>
        <w:rPr>
          <w:rStyle w:val="None"/>
          <w:rFonts w:ascii="Times New Roman" w:cs="Times New Roman" w:hAnsi="Times New Roman" w:eastAsia="Times New Roman"/>
        </w:rPr>
      </w:pPr>
      <w:r>
        <w:rPr>
          <w:rStyle w:val="None"/>
          <w:rFonts w:ascii="Times New Roman" w:hAnsi="Times New Roman"/>
          <w:rtl w:val="0"/>
          <w:lang w:val="en-US"/>
        </w:rPr>
        <w:t xml:space="preserve">American Counseling Association. (2014). </w:t>
      </w:r>
      <w:r>
        <w:rPr>
          <w:rStyle w:val="None"/>
          <w:rFonts w:ascii="Times New Roman" w:hAnsi="Times New Roman"/>
          <w:i w:val="1"/>
          <w:iCs w:val="1"/>
          <w:rtl w:val="0"/>
          <w:lang w:val="en-US"/>
        </w:rPr>
        <w:t>ACA code of ethics</w:t>
      </w:r>
      <w:r>
        <w:rPr>
          <w:rStyle w:val="None"/>
          <w:rFonts w:ascii="Times New Roman" w:hAnsi="Times New Roman"/>
          <w:rtl w:val="0"/>
        </w:rPr>
        <w:t xml:space="preserve">. </w:t>
      </w:r>
      <w:r>
        <w:rPr>
          <w:rStyle w:val="Hyperlink.1"/>
        </w:rPr>
        <w:fldChar w:fldCharType="begin" w:fldLock="0"/>
      </w:r>
      <w:r>
        <w:rPr>
          <w:rStyle w:val="Hyperlink.1"/>
        </w:rPr>
        <w:instrText xml:space="preserve"> HYPERLINK "https://www.counseling.org/resources/aca-code-of-ethics.pdf"</w:instrText>
      </w:r>
      <w:r>
        <w:rPr>
          <w:rStyle w:val="Hyperlink.1"/>
        </w:rPr>
        <w:fldChar w:fldCharType="separate" w:fldLock="0"/>
      </w:r>
      <w:r>
        <w:rPr>
          <w:rStyle w:val="Hyperlink.1"/>
          <w:rtl w:val="0"/>
          <w:lang w:val="en-US"/>
        </w:rPr>
        <w:t>https://www.counseling.org/resources/aca-code-of-ethics.pdf</w:t>
      </w:r>
      <w:r>
        <w:rPr/>
        <w:fldChar w:fldCharType="end" w:fldLock="0"/>
      </w:r>
    </w:p>
    <w:p>
      <w:pPr>
        <w:pStyle w:val="Default"/>
        <w:suppressAutoHyphens w:val="1"/>
        <w:spacing w:before="0" w:after="240" w:line="480" w:lineRule="auto"/>
        <w:ind w:left="720" w:hanging="720"/>
        <w:rPr>
          <w:rStyle w:val="None"/>
          <w:rFonts w:ascii="Times New Roman" w:cs="Times New Roman" w:hAnsi="Times New Roman" w:eastAsia="Times New Roman"/>
        </w:rPr>
      </w:pPr>
      <w:r>
        <w:rPr>
          <w:rStyle w:val="None"/>
          <w:rFonts w:ascii="Times New Roman" w:hAnsi="Times New Roman"/>
          <w:rtl w:val="0"/>
        </w:rPr>
        <w:t>Corey, G., Corey, M. S., &amp; Callanan, P. (20</w:t>
      </w:r>
      <w:r>
        <w:rPr>
          <w:rStyle w:val="None"/>
          <w:rFonts w:ascii="Times New Roman" w:hAnsi="Times New Roman"/>
          <w:rtl w:val="0"/>
          <w:lang w:val="en-US"/>
        </w:rPr>
        <w:t>24</w:t>
      </w:r>
      <w:r>
        <w:rPr>
          <w:rStyle w:val="None"/>
          <w:rFonts w:ascii="Times New Roman" w:hAnsi="Times New Roman"/>
          <w:rtl w:val="0"/>
        </w:rPr>
        <w:t xml:space="preserve">). </w:t>
      </w:r>
      <w:r>
        <w:rPr>
          <w:rStyle w:val="None"/>
          <w:rFonts w:ascii="Times New Roman" w:hAnsi="Times New Roman"/>
          <w:i w:val="1"/>
          <w:iCs w:val="1"/>
          <w:rtl w:val="0"/>
          <w:lang w:val="en-US"/>
        </w:rPr>
        <w:t>Issues and ethics in the helping professions</w:t>
      </w:r>
      <w:r>
        <w:rPr>
          <w:rStyle w:val="None"/>
          <w:rFonts w:ascii="Times New Roman" w:hAnsi="Times New Roman"/>
          <w:rtl w:val="0"/>
          <w:lang w:val="en-US"/>
        </w:rPr>
        <w:t xml:space="preserve"> (11th ed.). Cengage Learning.</w:t>
      </w:r>
    </w:p>
    <w:p>
      <w:pPr>
        <w:pStyle w:val="Default"/>
        <w:suppressAutoHyphens w:val="1"/>
        <w:spacing w:before="0" w:after="240" w:line="480" w:lineRule="auto"/>
        <w:ind w:left="720" w:hanging="720"/>
        <w:rPr>
          <w:rStyle w:val="None"/>
          <w:rFonts w:ascii="Times New Roman" w:cs="Times New Roman" w:hAnsi="Times New Roman" w:eastAsia="Times New Roman"/>
        </w:rPr>
      </w:pPr>
      <w:r>
        <w:rPr>
          <w:rStyle w:val="None"/>
          <w:rFonts w:ascii="Times New Roman" w:hAnsi="Times New Roman"/>
          <w:rtl w:val="0"/>
          <w:lang w:val="en-US"/>
        </w:rPr>
        <w:t xml:space="preserve">Large, M., Ryan, C., Carter, G., &amp; Kapur, N. (2017). Can we usefully stratify patients according to suicide risk? </w:t>
      </w:r>
      <w:r>
        <w:rPr>
          <w:rStyle w:val="None"/>
          <w:rFonts w:ascii="Times New Roman" w:hAnsi="Times New Roman"/>
          <w:i w:val="1"/>
          <w:iCs w:val="1"/>
          <w:rtl w:val="0"/>
        </w:rPr>
        <w:t>BMJ</w:t>
      </w:r>
      <w:r>
        <w:rPr>
          <w:rStyle w:val="None"/>
          <w:rFonts w:ascii="Times New Roman" w:hAnsi="Times New Roman"/>
          <w:rtl w:val="0"/>
        </w:rPr>
        <w:t xml:space="preserve">, </w:t>
      </w:r>
      <w:r>
        <w:rPr>
          <w:rStyle w:val="None"/>
          <w:rFonts w:ascii="Times New Roman" w:hAnsi="Times New Roman"/>
          <w:i w:val="1"/>
          <w:iCs w:val="1"/>
          <w:rtl w:val="0"/>
        </w:rPr>
        <w:t>359</w:t>
      </w:r>
      <w:r>
        <w:rPr>
          <w:rStyle w:val="None"/>
          <w:rFonts w:ascii="Times New Roman" w:hAnsi="Times New Roman"/>
          <w:rtl w:val="0"/>
          <w:lang w:val="en-US"/>
        </w:rPr>
        <w:t>, j4627. https://doi.org/10.1136/bmj.j4627</w:t>
      </w:r>
    </w:p>
    <w:p>
      <w:pPr>
        <w:pStyle w:val="Default"/>
        <w:suppressAutoHyphens w:val="1"/>
        <w:spacing w:before="0" w:after="240" w:line="480" w:lineRule="auto"/>
        <w:ind w:left="720" w:hanging="720"/>
        <w:rPr>
          <w:rStyle w:val="None"/>
          <w:rFonts w:ascii="Times New Roman" w:cs="Times New Roman" w:hAnsi="Times New Roman" w:eastAsia="Times New Roman"/>
        </w:rPr>
      </w:pPr>
      <w:r>
        <w:rPr>
          <w:rStyle w:val="None"/>
          <w:rFonts w:ascii="Times New Roman" w:hAnsi="Times New Roman"/>
          <w:rtl w:val="0"/>
          <w:lang w:val="en-US"/>
        </w:rPr>
        <w:t xml:space="preserve">Newton-Howes, G., &amp; Mullen, R. (2011). Coercion in psychiatric care: Systematic review. </w:t>
      </w:r>
      <w:r>
        <w:rPr>
          <w:rStyle w:val="None"/>
          <w:rFonts w:ascii="Times New Roman" w:hAnsi="Times New Roman"/>
          <w:i w:val="1"/>
          <w:iCs w:val="1"/>
          <w:rtl w:val="0"/>
          <w:lang w:val="en-US"/>
        </w:rPr>
        <w:t>International Journal of Law and Psychiatry</w:t>
      </w:r>
      <w:r>
        <w:rPr>
          <w:rStyle w:val="None"/>
          <w:rFonts w:ascii="Times New Roman" w:hAnsi="Times New Roman"/>
          <w:rtl w:val="0"/>
        </w:rPr>
        <w:t xml:space="preserve">, </w:t>
      </w:r>
      <w:r>
        <w:rPr>
          <w:rStyle w:val="None"/>
          <w:rFonts w:ascii="Times New Roman" w:hAnsi="Times New Roman"/>
          <w:i w:val="1"/>
          <w:iCs w:val="1"/>
          <w:rtl w:val="0"/>
          <w:lang w:val="ru-RU"/>
        </w:rPr>
        <w:t>34</w:t>
      </w:r>
      <w:r>
        <w:rPr>
          <w:rStyle w:val="None"/>
          <w:rFonts w:ascii="Times New Roman" w:hAnsi="Times New Roman"/>
          <w:rtl w:val="0"/>
        </w:rPr>
        <w:t>(5), 354</w:t>
      </w:r>
      <w:r>
        <w:rPr>
          <w:rStyle w:val="None"/>
          <w:rFonts w:ascii="Times New Roman" w:hAnsi="Times New Roman" w:hint="default"/>
          <w:rtl w:val="0"/>
        </w:rPr>
        <w:t>–</w:t>
      </w:r>
      <w:r>
        <w:rPr>
          <w:rStyle w:val="None"/>
          <w:rFonts w:ascii="Times New Roman" w:hAnsi="Times New Roman"/>
          <w:rtl w:val="0"/>
          <w:lang w:val="pt-PT"/>
        </w:rPr>
        <w:t>361. https://doi.org/10.1176/ps.62.5.pss6205_0465</w:t>
      </w:r>
    </w:p>
    <w:p>
      <w:pPr>
        <w:pStyle w:val="Default"/>
        <w:suppressAutoHyphens w:val="1"/>
        <w:spacing w:before="0" w:after="240" w:line="480" w:lineRule="auto"/>
        <w:ind w:left="720" w:hanging="720"/>
        <w:rPr>
          <w:rStyle w:val="None"/>
          <w:rFonts w:ascii="Times New Roman" w:cs="Times New Roman" w:hAnsi="Times New Roman" w:eastAsia="Times New Roman"/>
        </w:rPr>
      </w:pPr>
      <w:r>
        <w:rPr>
          <w:rStyle w:val="None"/>
          <w:rFonts w:ascii="Times New Roman" w:hAnsi="Times New Roman"/>
          <w:rtl w:val="0"/>
          <w:lang w:val="en-US"/>
        </w:rPr>
        <w:t xml:space="preserve">Substance Abuse and Mental Health Services Administration. (2023). </w:t>
      </w:r>
      <w:r>
        <w:rPr>
          <w:rStyle w:val="None"/>
          <w:rFonts w:ascii="Times New Roman" w:hAnsi="Times New Roman"/>
          <w:i w:val="1"/>
          <w:iCs w:val="1"/>
          <w:rtl w:val="0"/>
          <w:lang w:val="en-US"/>
        </w:rPr>
        <w:t>National strategy for suicide prevention</w:t>
      </w:r>
      <w:r>
        <w:rPr>
          <w:rStyle w:val="None"/>
          <w:rFonts w:ascii="Times New Roman" w:hAnsi="Times New Roman"/>
          <w:rtl w:val="0"/>
        </w:rPr>
        <w:t xml:space="preserve">. </w:t>
      </w:r>
      <w:r>
        <w:rPr>
          <w:rStyle w:val="Hyperlink.1"/>
        </w:rPr>
        <w:fldChar w:fldCharType="begin" w:fldLock="0"/>
      </w:r>
      <w:r>
        <w:rPr>
          <w:rStyle w:val="Hyperlink.1"/>
        </w:rPr>
        <w:instrText xml:space="preserve"> HYPERLINK "https://www.samhsa.gov/"</w:instrText>
      </w:r>
      <w:r>
        <w:rPr>
          <w:rStyle w:val="Hyperlink.1"/>
        </w:rPr>
        <w:fldChar w:fldCharType="separate" w:fldLock="0"/>
      </w:r>
      <w:r>
        <w:rPr>
          <w:rStyle w:val="Hyperlink.1"/>
          <w:rtl w:val="0"/>
          <w:lang w:val="en-US"/>
        </w:rPr>
        <w:t>https://www.samhsa.gov</w:t>
      </w:r>
      <w:r>
        <w:rPr/>
        <w:fldChar w:fldCharType="end" w:fldLock="0"/>
      </w:r>
    </w:p>
    <w:p>
      <w:pPr>
        <w:pStyle w:val="Default"/>
        <w:suppressAutoHyphens w:val="1"/>
        <w:spacing w:before="0" w:after="240" w:line="480" w:lineRule="auto"/>
        <w:ind w:left="720" w:hanging="720"/>
        <w:rPr>
          <w:rStyle w:val="None"/>
          <w:rFonts w:ascii="Times New Roman" w:cs="Times New Roman" w:hAnsi="Times New Roman" w:eastAsia="Times New Roman"/>
        </w:rPr>
      </w:pPr>
      <w:r>
        <w:rPr>
          <w:rStyle w:val="None"/>
          <w:rFonts w:ascii="Times New Roman" w:hAnsi="Times New Roman"/>
          <w:rtl w:val="0"/>
          <w:lang w:val="en-US"/>
        </w:rPr>
        <w:t xml:space="preserve">National Institute of Mental Health. (2023). </w:t>
      </w:r>
      <w:r>
        <w:rPr>
          <w:rStyle w:val="None"/>
          <w:rFonts w:ascii="Times New Roman" w:hAnsi="Times New Roman"/>
          <w:i w:val="1"/>
          <w:iCs w:val="1"/>
          <w:rtl w:val="0"/>
          <w:lang w:val="fr-FR"/>
        </w:rPr>
        <w:t>Suicide</w:t>
      </w:r>
      <w:r>
        <w:rPr>
          <w:rStyle w:val="None"/>
          <w:rFonts w:ascii="Times New Roman" w:hAnsi="Times New Roman"/>
          <w:rtl w:val="0"/>
        </w:rPr>
        <w:t xml:space="preserve">. </w:t>
      </w:r>
      <w:r>
        <w:rPr>
          <w:rStyle w:val="Hyperlink.2"/>
        </w:rPr>
        <w:fldChar w:fldCharType="begin" w:fldLock="0"/>
      </w:r>
      <w:r>
        <w:rPr>
          <w:rStyle w:val="Hyperlink.2"/>
        </w:rPr>
        <w:instrText xml:space="preserve"> HYPERLINK "https://www.nimh.nih.gov/health/statistics/suicide"</w:instrText>
      </w:r>
      <w:r>
        <w:rPr>
          <w:rStyle w:val="Hyperlink.2"/>
        </w:rPr>
        <w:fldChar w:fldCharType="separate" w:fldLock="0"/>
      </w:r>
      <w:r>
        <w:rPr>
          <w:rStyle w:val="Hyperlink.2"/>
          <w:rtl w:val="0"/>
          <w:lang w:val="en-US"/>
        </w:rPr>
        <w:t>https://www.nimh.nih.gov/health/statistics/suicide</w:t>
      </w:r>
      <w:r>
        <w:rPr/>
        <w:fldChar w:fldCharType="end" w:fldLock="0"/>
      </w:r>
    </w:p>
    <w:p>
      <w:pPr>
        <w:pStyle w:val="Default"/>
        <w:suppressAutoHyphens w:val="1"/>
        <w:spacing w:before="0" w:after="240" w:line="480" w:lineRule="auto"/>
        <w:ind w:left="720" w:hanging="720"/>
      </w:pPr>
      <w:r>
        <w:rPr>
          <w:rStyle w:val="None"/>
          <w:rFonts w:ascii="Times New Roman" w:hAnsi="Times New Roman"/>
          <w:rtl w:val="0"/>
          <w:lang w:val="pt-PT"/>
        </w:rPr>
        <w:t xml:space="preserve">Colorado General Assembly. (2023). </w:t>
      </w:r>
      <w:r>
        <w:rPr>
          <w:rStyle w:val="None"/>
          <w:rFonts w:ascii="Times New Roman" w:hAnsi="Times New Roman"/>
          <w:i w:val="1"/>
          <w:iCs w:val="1"/>
          <w:rtl w:val="0"/>
          <w:lang w:val="en-US"/>
        </w:rPr>
        <w:t xml:space="preserve">Colorado Revised Statutes </w:t>
      </w:r>
      <w:r>
        <w:rPr>
          <w:rStyle w:val="None"/>
          <w:rFonts w:ascii="Times New Roman" w:hAnsi="Times New Roman" w:hint="default"/>
          <w:i w:val="1"/>
          <w:iCs w:val="1"/>
          <w:rtl w:val="0"/>
        </w:rPr>
        <w:t xml:space="preserve">§ </w:t>
      </w:r>
      <w:r>
        <w:rPr>
          <w:rStyle w:val="None"/>
          <w:rFonts w:ascii="Times New Roman" w:hAnsi="Times New Roman"/>
          <w:i w:val="1"/>
          <w:iCs w:val="1"/>
          <w:rtl w:val="0"/>
        </w:rPr>
        <w:t>27-65-105</w:t>
      </w:r>
      <w:r>
        <w:rPr>
          <w:rStyle w:val="None"/>
          <w:rFonts w:ascii="Times New Roman" w:hAnsi="Times New Roman"/>
          <w:rtl w:val="0"/>
        </w:rPr>
        <w:t xml:space="preserve">. </w:t>
      </w:r>
      <w:r>
        <w:rPr>
          <w:rStyle w:val="Hyperlink.0"/>
        </w:rPr>
        <w:fldChar w:fldCharType="begin" w:fldLock="0"/>
      </w:r>
      <w:r>
        <w:rPr>
          <w:rStyle w:val="Hyperlink.0"/>
        </w:rPr>
        <w:instrText xml:space="preserve"> HYPERLINK "https://leg.colorado.gov/"</w:instrText>
      </w:r>
      <w:r>
        <w:rPr>
          <w:rStyle w:val="Hyperlink.0"/>
        </w:rPr>
        <w:fldChar w:fldCharType="separate" w:fldLock="0"/>
      </w:r>
      <w:r>
        <w:rPr>
          <w:rStyle w:val="Hyperlink.0"/>
          <w:rtl w:val="0"/>
          <w:lang w:val="pt-PT"/>
        </w:rPr>
        <w:t>https://leg.colorado.gov</w:t>
      </w:r>
      <w:r>
        <w:rPr/>
        <w:fldChar w:fldCharType="end" w:fldLock="0"/>
      </w:r>
    </w:p>
    <w:sectPr>
      <w:headerReference w:type="default" r:id="rId4"/>
      <w:headerReference w:type="first" r:id="rId5"/>
      <w:footerReference w:type="default" r:id="rId6"/>
      <w:footerReference w:type="first" r:id="rId7"/>
      <w:pgSz w:w="12240" w:h="15840" w:orient="portrait"/>
      <w:pgMar w:top="1440" w:right="1440" w:bottom="1440" w:left="1440" w:header="720" w:footer="864"/>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80"/>
        <w:tab w:val="right" w:pos="9340"/>
        <w:tab w:val="clear" w:pos="9020"/>
      </w:tabs>
    </w:pPr>
    <w:r>
      <w:rPr>
        <w:rStyle w:val="None A"/>
      </w:rPr>
      <w:tab/>
      <w:tab/>
    </w:r>
    <w:r>
      <w:rPr>
        <w:rStyle w:val="None A"/>
      </w:rPr>
      <w:fldChar w:fldCharType="begin" w:fldLock="0"/>
    </w:r>
    <w:r>
      <w:rPr>
        <w:rStyle w:val="None A"/>
      </w:rPr>
      <w:instrText xml:space="preserve"> PAGE </w:instrText>
    </w:r>
    <w:r>
      <w:rPr>
        <w:rStyle w:val="None A"/>
      </w:rPr>
      <w:fldChar w:fldCharType="separate" w:fldLock="0"/>
    </w:r>
    <w:r>
      <w:rPr>
        <w:rStyle w:val="None A"/>
      </w:rPr>
    </w:r>
    <w:r>
      <w:rPr>
        <w:rStyle w:val="None A"/>
      </w:rPr>
      <w:fldChar w:fldCharType="end" w:fldLock="0"/>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character" w:styleId="None A">
    <w:name w:val="None A"/>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character" w:styleId="None">
    <w:name w:val="None"/>
  </w:style>
  <w:style w:type="character" w:styleId="Hyperlink.0">
    <w:name w:val="Hyperlink.0"/>
    <w:basedOn w:val="None"/>
    <w:next w:val="Hyperlink.0"/>
    <w:rPr>
      <w:rFonts w:ascii="Times New Roman" w:cs="Times New Roman" w:hAnsi="Times New Roman" w:eastAsia="Times New Roman"/>
      <w:u w:val="single"/>
      <w:lang w:val="pt-PT"/>
    </w:rPr>
  </w:style>
  <w:style w:type="character" w:styleId="Hyperlink.1">
    <w:name w:val="Hyperlink.1"/>
    <w:basedOn w:val="None"/>
    <w:next w:val="Hyperlink.1"/>
    <w:rPr>
      <w:rFonts w:ascii="Times New Roman" w:cs="Times New Roman" w:hAnsi="Times New Roman" w:eastAsia="Times New Roman"/>
      <w:u w:val="single"/>
      <w:lang w:val="en-US"/>
    </w:rPr>
  </w:style>
  <w:style w:type="character" w:styleId="Hyperlink.2">
    <w:name w:val="Hyperlink.2"/>
    <w:basedOn w:val="None"/>
    <w:next w:val="Hyperlink.2"/>
    <w:rPr>
      <w:rFonts w:ascii="Times New Roman" w:cs="Times New Roman" w:hAnsi="Times New Roman" w:eastAsia="Times New Roman"/>
      <w:outline w:val="0"/>
      <w:color w:val="0000ee"/>
      <w:u w:val="single" w:color="0000ee"/>
      <w:lang w:val="en-US"/>
      <w14:textFill>
        <w14:solidFill>
          <w14:srgbClr w14:val="0000EE"/>
        </w14:solidFill>
      </w14:textFill>
    </w:rPr>
  </w:style>
  <w:style w:type="character" w:styleId="Hyperlink.3">
    <w:name w:val="Hyperlink.3"/>
    <w:basedOn w:val="None"/>
    <w:next w:val="Hyperlink.3"/>
    <w:rPr>
      <w:rFonts w:ascii="Times New Roman" w:cs="Times New Roman" w:hAnsi="Times New Roman" w:eastAsia="Times New Roman"/>
      <w:outline w:val="0"/>
      <w:color w:val="0000ee"/>
      <w:u w:val="single" w:color="0000ee"/>
      <w14:textFill>
        <w14:solidFill>
          <w14:srgbClr w14:val="0000EE"/>
        </w14:solidFill>
      </w14:textFill>
    </w:rPr>
  </w:style>
  <w:style w:type="character" w:styleId="Hyperlink.4">
    <w:name w:val="Hyperlink.4"/>
    <w:basedOn w:val="None"/>
    <w:next w:val="Hyperlink.4"/>
    <w:rPr>
      <w:rFonts w:ascii="Times New Roman" w:cs="Times New Roman" w:hAnsi="Times New Roman" w:eastAsia="Times New Roman"/>
      <w:u w:val="single"/>
      <w:lang w:val="de-D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